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空气弹簧模具</w:t>
      </w:r>
    </w:p>
    <w:p w:rsidR="004E6B45" w:rsidRDefault="009D169B" w:rsidP="009D169B">
      <w:pPr>
        <w:jc w:val="center"/>
        <w:rPr>
          <w:rFonts w:cs="Arial"/>
          <w:bCs/>
          <w:sz w:val="32"/>
          <w:szCs w:val="32"/>
        </w:rPr>
      </w:pPr>
      <w:r w:rsidRPr="00FD15A5">
        <w:rPr>
          <w:rFonts w:cs="Arial" w:hint="eastAsia"/>
          <w:bCs/>
          <w:sz w:val="32"/>
          <w:szCs w:val="32"/>
        </w:rPr>
        <w:t>技术</w:t>
      </w:r>
      <w:r w:rsidR="00883A33">
        <w:rPr>
          <w:rFonts w:cs="Arial" w:hint="eastAsia"/>
          <w:bCs/>
          <w:sz w:val="32"/>
          <w:szCs w:val="32"/>
        </w:rPr>
        <w:t>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091A07"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A55C6C" w:rsidRDefault="00C254F7" w:rsidP="00D37183">
      <w:pPr>
        <w:pStyle w:val="a3"/>
        <w:spacing w:line="360" w:lineRule="auto"/>
        <w:ind w:left="567" w:firstLine="480"/>
        <w:rPr>
          <w:rFonts w:cs="Arial"/>
          <w:bCs/>
          <w:sz w:val="24"/>
          <w:szCs w:val="28"/>
        </w:rPr>
      </w:pPr>
      <w:r>
        <w:rPr>
          <w:rFonts w:cs="Arial" w:hint="eastAsia"/>
          <w:bCs/>
          <w:sz w:val="24"/>
          <w:szCs w:val="28"/>
        </w:rPr>
        <w:t>满足</w:t>
      </w:r>
      <w:r w:rsidR="00CA2672">
        <w:rPr>
          <w:rFonts w:cs="Arial" w:hint="eastAsia"/>
          <w:bCs/>
          <w:sz w:val="24"/>
          <w:szCs w:val="28"/>
        </w:rPr>
        <w:t>空簧产品硫化需求</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AD1C59">
        <w:rPr>
          <w:rFonts w:cs="Arial"/>
          <w:bCs/>
          <w:color w:val="000000" w:themeColor="text1"/>
          <w:sz w:val="28"/>
          <w:szCs w:val="28"/>
        </w:rPr>
        <w:t>2</w:t>
      </w:r>
      <w:r w:rsidR="00CA2672">
        <w:rPr>
          <w:rFonts w:cs="Arial" w:hint="eastAsia"/>
          <w:bCs/>
          <w:color w:val="000000" w:themeColor="text1"/>
          <w:sz w:val="28"/>
          <w:szCs w:val="28"/>
        </w:rPr>
        <w:t>套。</w:t>
      </w:r>
    </w:p>
    <w:p w:rsidR="00364777" w:rsidRPr="00364777" w:rsidRDefault="00D5517C"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交货时间</w:t>
      </w:r>
      <w:r w:rsidR="004306D2" w:rsidRPr="00BC1138">
        <w:rPr>
          <w:rFonts w:cs="Arial" w:hint="eastAsia"/>
          <w:bCs/>
          <w:color w:val="000000" w:themeColor="text1"/>
          <w:sz w:val="28"/>
          <w:szCs w:val="28"/>
        </w:rPr>
        <w:t>：</w:t>
      </w:r>
      <w:r w:rsidR="004306D2" w:rsidRPr="00BC1138">
        <w:rPr>
          <w:rFonts w:cs="Arial" w:hint="eastAsia"/>
          <w:bCs/>
          <w:color w:val="000000" w:themeColor="text1"/>
          <w:sz w:val="24"/>
          <w:szCs w:val="28"/>
        </w:rPr>
        <w:t>2</w:t>
      </w:r>
      <w:r w:rsidR="004306D2" w:rsidRPr="00BC1138">
        <w:rPr>
          <w:rFonts w:cs="Arial"/>
          <w:bCs/>
          <w:color w:val="000000" w:themeColor="text1"/>
          <w:sz w:val="24"/>
          <w:szCs w:val="28"/>
        </w:rPr>
        <w:t>02</w:t>
      </w:r>
      <w:r w:rsidR="001F7170">
        <w:rPr>
          <w:rFonts w:cs="Arial"/>
          <w:bCs/>
          <w:color w:val="000000" w:themeColor="text1"/>
          <w:sz w:val="24"/>
          <w:szCs w:val="28"/>
        </w:rPr>
        <w:t>4</w:t>
      </w:r>
      <w:r w:rsidR="004306D2" w:rsidRPr="00BC1138">
        <w:rPr>
          <w:rFonts w:cs="Arial" w:hint="eastAsia"/>
          <w:bCs/>
          <w:color w:val="000000" w:themeColor="text1"/>
          <w:sz w:val="24"/>
          <w:szCs w:val="28"/>
        </w:rPr>
        <w:t>年</w:t>
      </w:r>
      <w:r w:rsidR="00CA2672">
        <w:rPr>
          <w:rFonts w:cs="Arial"/>
          <w:bCs/>
          <w:color w:val="000000" w:themeColor="text1"/>
          <w:sz w:val="24"/>
          <w:szCs w:val="28"/>
        </w:rPr>
        <w:t>12月30日</w:t>
      </w:r>
      <w:r w:rsidR="00CA2672">
        <w:rPr>
          <w:rFonts w:cs="Arial" w:hint="eastAsia"/>
          <w:bCs/>
          <w:color w:val="000000" w:themeColor="text1"/>
          <w:sz w:val="24"/>
          <w:szCs w:val="28"/>
        </w:rPr>
        <w:t>。</w:t>
      </w:r>
    </w:p>
    <w:p w:rsidR="00D5517C" w:rsidRPr="00BC1138" w:rsidRDefault="004306D2"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w:t>
      </w:r>
      <w:r w:rsidR="00D5517C" w:rsidRPr="00BC1138">
        <w:rPr>
          <w:rFonts w:cs="Arial" w:hint="eastAsia"/>
          <w:bCs/>
          <w:color w:val="000000" w:themeColor="text1"/>
          <w:sz w:val="28"/>
          <w:szCs w:val="28"/>
        </w:rPr>
        <w:t>地点：</w:t>
      </w:r>
      <w:r w:rsidRPr="00BC1138">
        <w:rPr>
          <w:rFonts w:cs="Arial" w:hint="eastAsia"/>
          <w:bCs/>
          <w:color w:val="000000" w:themeColor="text1"/>
          <w:sz w:val="24"/>
          <w:szCs w:val="28"/>
        </w:rPr>
        <w:t>浦林成山（山东）轮胎有限公司</w:t>
      </w:r>
      <w:r w:rsidR="00883B1B" w:rsidRPr="00BC1138">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611"/>
        <w:gridCol w:w="2450"/>
        <w:gridCol w:w="1321"/>
        <w:gridCol w:w="2794"/>
      </w:tblGrid>
      <w:tr w:rsidR="000B782D" w:rsidRPr="00FD15A5" w:rsidTr="00741113">
        <w:trPr>
          <w:trHeight w:val="356"/>
          <w:jc w:val="center"/>
        </w:trPr>
        <w:tc>
          <w:tcPr>
            <w:tcW w:w="888" w:type="dxa"/>
            <w:shd w:val="clear" w:color="auto" w:fill="auto"/>
          </w:tcPr>
          <w:p w:rsidR="000B782D" w:rsidRPr="00FD15A5" w:rsidRDefault="000B782D" w:rsidP="00D37183">
            <w:pPr>
              <w:spacing w:line="360" w:lineRule="auto"/>
              <w:ind w:rightChars="16" w:right="34"/>
              <w:jc w:val="center"/>
              <w:rPr>
                <w:sz w:val="24"/>
              </w:rPr>
            </w:pPr>
            <w:r w:rsidRPr="00FD15A5">
              <w:rPr>
                <w:rFonts w:hint="eastAsia"/>
                <w:sz w:val="24"/>
              </w:rPr>
              <w:t>序号</w:t>
            </w:r>
          </w:p>
        </w:tc>
        <w:tc>
          <w:tcPr>
            <w:tcW w:w="2611" w:type="dxa"/>
            <w:shd w:val="clear" w:color="auto" w:fill="auto"/>
          </w:tcPr>
          <w:p w:rsidR="000B782D" w:rsidRPr="00FD15A5" w:rsidRDefault="000B782D" w:rsidP="006F25E6">
            <w:pPr>
              <w:spacing w:line="360" w:lineRule="auto"/>
              <w:jc w:val="center"/>
              <w:rPr>
                <w:sz w:val="24"/>
              </w:rPr>
            </w:pPr>
            <w:r w:rsidRPr="00FD15A5">
              <w:rPr>
                <w:rFonts w:hint="eastAsia"/>
                <w:sz w:val="24"/>
              </w:rPr>
              <w:t>名称</w:t>
            </w:r>
          </w:p>
        </w:tc>
        <w:tc>
          <w:tcPr>
            <w:tcW w:w="2450" w:type="dxa"/>
          </w:tcPr>
          <w:p w:rsidR="000B782D" w:rsidRPr="00FD15A5" w:rsidRDefault="000B782D" w:rsidP="006F25E6">
            <w:pPr>
              <w:spacing w:line="360" w:lineRule="auto"/>
              <w:jc w:val="center"/>
              <w:rPr>
                <w:sz w:val="24"/>
              </w:rPr>
            </w:pPr>
            <w:r>
              <w:rPr>
                <w:rFonts w:hint="eastAsia"/>
                <w:sz w:val="24"/>
              </w:rPr>
              <w:t>结构要求</w:t>
            </w:r>
          </w:p>
        </w:tc>
        <w:tc>
          <w:tcPr>
            <w:tcW w:w="1321" w:type="dxa"/>
            <w:shd w:val="clear" w:color="auto" w:fill="auto"/>
          </w:tcPr>
          <w:p w:rsidR="00741113" w:rsidRDefault="000B782D" w:rsidP="006F25E6">
            <w:pPr>
              <w:spacing w:line="360" w:lineRule="auto"/>
              <w:jc w:val="center"/>
              <w:rPr>
                <w:sz w:val="24"/>
              </w:rPr>
            </w:pPr>
            <w:r w:rsidRPr="00FD15A5">
              <w:rPr>
                <w:rFonts w:hint="eastAsia"/>
                <w:sz w:val="24"/>
              </w:rPr>
              <w:t>数量</w:t>
            </w:r>
          </w:p>
          <w:p w:rsidR="000B782D" w:rsidRPr="00FD15A5" w:rsidRDefault="00741113" w:rsidP="006F25E6">
            <w:pPr>
              <w:spacing w:line="360" w:lineRule="auto"/>
              <w:jc w:val="center"/>
              <w:rPr>
                <w:sz w:val="24"/>
              </w:rPr>
            </w:pPr>
            <w:r>
              <w:rPr>
                <w:rFonts w:hint="eastAsia"/>
                <w:sz w:val="24"/>
              </w:rPr>
              <w:t>（</w:t>
            </w:r>
            <w:r w:rsidR="000B782D" w:rsidRPr="00FD15A5">
              <w:rPr>
                <w:rFonts w:hint="eastAsia"/>
                <w:sz w:val="24"/>
              </w:rPr>
              <w:t>单位</w:t>
            </w:r>
            <w:r>
              <w:rPr>
                <w:rFonts w:hint="eastAsia"/>
                <w:sz w:val="24"/>
              </w:rPr>
              <w:t>）</w:t>
            </w:r>
          </w:p>
        </w:tc>
        <w:tc>
          <w:tcPr>
            <w:tcW w:w="2794" w:type="dxa"/>
          </w:tcPr>
          <w:p w:rsidR="000B782D" w:rsidRPr="00FD15A5" w:rsidRDefault="000B782D" w:rsidP="006F25E6">
            <w:pPr>
              <w:spacing w:line="360" w:lineRule="auto"/>
              <w:jc w:val="center"/>
              <w:rPr>
                <w:sz w:val="24"/>
              </w:rPr>
            </w:pPr>
            <w:r>
              <w:rPr>
                <w:rFonts w:hint="eastAsia"/>
                <w:sz w:val="24"/>
              </w:rPr>
              <w:t>备注</w:t>
            </w:r>
          </w:p>
        </w:tc>
      </w:tr>
      <w:tr w:rsidR="001F7170" w:rsidRPr="00FD15A5" w:rsidTr="00741113">
        <w:trPr>
          <w:trHeight w:val="345"/>
          <w:jc w:val="center"/>
        </w:trPr>
        <w:tc>
          <w:tcPr>
            <w:tcW w:w="888" w:type="dxa"/>
            <w:shd w:val="clear" w:color="auto" w:fill="auto"/>
            <w:vAlign w:val="center"/>
          </w:tcPr>
          <w:p w:rsidR="001F7170" w:rsidRPr="00FD15A5" w:rsidRDefault="001F7170" w:rsidP="00D37183">
            <w:pPr>
              <w:spacing w:line="360" w:lineRule="auto"/>
              <w:jc w:val="center"/>
              <w:rPr>
                <w:rFonts w:cs="Times New Roman"/>
                <w:sz w:val="24"/>
                <w:szCs w:val="24"/>
              </w:rPr>
            </w:pPr>
            <w:r w:rsidRPr="00FD15A5">
              <w:rPr>
                <w:rFonts w:cs="Times New Roman" w:hint="eastAsia"/>
                <w:sz w:val="24"/>
                <w:szCs w:val="24"/>
              </w:rPr>
              <w:t>1</w:t>
            </w:r>
          </w:p>
        </w:tc>
        <w:tc>
          <w:tcPr>
            <w:tcW w:w="2611" w:type="dxa"/>
            <w:shd w:val="clear" w:color="auto" w:fill="auto"/>
            <w:vAlign w:val="center"/>
          </w:tcPr>
          <w:p w:rsidR="001F7170" w:rsidRPr="00FD15A5" w:rsidRDefault="001F7170" w:rsidP="001F7170">
            <w:pPr>
              <w:spacing w:line="360" w:lineRule="auto"/>
              <w:jc w:val="center"/>
              <w:rPr>
                <w:rFonts w:cs="Times New Roman"/>
                <w:sz w:val="24"/>
                <w:szCs w:val="24"/>
              </w:rPr>
            </w:pPr>
            <w:r>
              <w:rPr>
                <w:rFonts w:cs="Times New Roman"/>
                <w:sz w:val="24"/>
                <w:szCs w:val="24"/>
              </w:rPr>
              <w:t>1RV 2645</w:t>
            </w:r>
            <w:r>
              <w:rPr>
                <w:rFonts w:cs="Times New Roman" w:hint="eastAsia"/>
                <w:sz w:val="24"/>
                <w:szCs w:val="24"/>
              </w:rPr>
              <w:t>硫化模具</w:t>
            </w:r>
          </w:p>
        </w:tc>
        <w:tc>
          <w:tcPr>
            <w:tcW w:w="2450" w:type="dxa"/>
            <w:vAlign w:val="center"/>
          </w:tcPr>
          <w:p w:rsidR="001F7170" w:rsidRDefault="001F7170" w:rsidP="00CA2672">
            <w:pPr>
              <w:spacing w:line="360" w:lineRule="auto"/>
              <w:ind w:left="0" w:firstLine="0"/>
              <w:jc w:val="left"/>
              <w:rPr>
                <w:rFonts w:cs="Times New Roman"/>
                <w:sz w:val="24"/>
                <w:szCs w:val="24"/>
              </w:rPr>
            </w:pPr>
            <w:r w:rsidRPr="000B782D">
              <w:rPr>
                <w:rFonts w:cs="Times New Roman" w:hint="eastAsia"/>
                <w:sz w:val="24"/>
                <w:szCs w:val="20"/>
              </w:rPr>
              <w:t>侧拉结构模具，与带侧拉结构立式硫化机配套</w:t>
            </w:r>
          </w:p>
        </w:tc>
        <w:tc>
          <w:tcPr>
            <w:tcW w:w="1321" w:type="dxa"/>
            <w:shd w:val="clear" w:color="auto" w:fill="auto"/>
            <w:vAlign w:val="center"/>
          </w:tcPr>
          <w:p w:rsidR="001F7170" w:rsidRPr="00FD15A5" w:rsidRDefault="00AD1C59" w:rsidP="00DA5FC3">
            <w:pPr>
              <w:spacing w:line="360" w:lineRule="auto"/>
              <w:jc w:val="center"/>
              <w:rPr>
                <w:rFonts w:cs="Times New Roman"/>
                <w:sz w:val="24"/>
                <w:szCs w:val="24"/>
              </w:rPr>
            </w:pPr>
            <w:r>
              <w:rPr>
                <w:rFonts w:cs="Times New Roman"/>
                <w:sz w:val="24"/>
                <w:szCs w:val="24"/>
              </w:rPr>
              <w:t>2</w:t>
            </w:r>
            <w:bookmarkStart w:id="0" w:name="_GoBack"/>
            <w:bookmarkEnd w:id="0"/>
            <w:r w:rsidR="001F7170">
              <w:rPr>
                <w:rFonts w:cs="Times New Roman" w:hint="eastAsia"/>
                <w:sz w:val="24"/>
                <w:szCs w:val="24"/>
              </w:rPr>
              <w:t>套</w:t>
            </w:r>
          </w:p>
        </w:tc>
        <w:tc>
          <w:tcPr>
            <w:tcW w:w="2794" w:type="dxa"/>
            <w:vAlign w:val="center"/>
          </w:tcPr>
          <w:p w:rsidR="001F7170" w:rsidRPr="00FD15A5" w:rsidRDefault="001F7170" w:rsidP="00CA2672">
            <w:pPr>
              <w:spacing w:line="360" w:lineRule="auto"/>
              <w:ind w:left="0" w:firstLine="0"/>
              <w:jc w:val="center"/>
              <w:rPr>
                <w:rFonts w:cs="Times New Roman"/>
                <w:sz w:val="24"/>
                <w:szCs w:val="24"/>
              </w:rPr>
            </w:pPr>
            <w:r>
              <w:rPr>
                <w:rFonts w:cs="Times New Roman" w:hint="eastAsia"/>
                <w:sz w:val="24"/>
                <w:szCs w:val="24"/>
              </w:rPr>
              <w:t>包含模具、模具热工管路连接配件，模具设计吊装位置。</w:t>
            </w:r>
            <w:r w:rsidR="009C1706">
              <w:rPr>
                <w:rFonts w:cs="Times New Roman" w:hint="eastAsia"/>
                <w:sz w:val="24"/>
                <w:szCs w:val="24"/>
              </w:rPr>
              <w:t>每套模具需配套D</w:t>
            </w:r>
            <w:r w:rsidR="009C1706">
              <w:rPr>
                <w:rFonts w:cs="Times New Roman"/>
                <w:sz w:val="24"/>
                <w:szCs w:val="24"/>
              </w:rPr>
              <w:t>OT</w:t>
            </w:r>
            <w:r w:rsidR="009C1706">
              <w:rPr>
                <w:rFonts w:cs="Times New Roman" w:hint="eastAsia"/>
                <w:sz w:val="24"/>
                <w:szCs w:val="24"/>
              </w:rPr>
              <w:t>标识2件</w:t>
            </w: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091A07"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w:t>
      </w:r>
      <w:r w:rsidR="00AA5B21">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38671B">
        <w:rPr>
          <w:rFonts w:cs="Times New Roman" w:hint="eastAsia"/>
          <w:sz w:val="24"/>
          <w:szCs w:val="20"/>
        </w:rPr>
        <w:t>设备</w:t>
      </w:r>
      <w:r>
        <w:rPr>
          <w:rFonts w:cs="Times New Roman" w:hint="eastAsia"/>
          <w:sz w:val="24"/>
          <w:szCs w:val="20"/>
        </w:rPr>
        <w:t>：</w:t>
      </w:r>
      <w:r w:rsidR="000B782D">
        <w:rPr>
          <w:rFonts w:cs="Times New Roman" w:hint="eastAsia"/>
          <w:sz w:val="24"/>
          <w:szCs w:val="20"/>
        </w:rPr>
        <w:t>四工位立式硫化机（带侧拉结构）</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D37183" w:rsidRDefault="007468E8"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模具结构示意</w:t>
      </w:r>
    </w:p>
    <w:p w:rsidR="00BC1138" w:rsidRPr="00BC1138" w:rsidRDefault="007468E8" w:rsidP="00BC1138">
      <w:pPr>
        <w:numPr>
          <w:ilvl w:val="0"/>
          <w:numId w:val="38"/>
        </w:numPr>
        <w:spacing w:line="360" w:lineRule="auto"/>
        <w:jc w:val="left"/>
        <w:rPr>
          <w:rFonts w:cs="Times New Roman"/>
          <w:bCs/>
          <w:sz w:val="24"/>
          <w:szCs w:val="24"/>
        </w:rPr>
      </w:pPr>
      <w:r>
        <w:rPr>
          <w:rFonts w:cs="Times New Roman" w:hint="eastAsia"/>
          <w:bCs/>
          <w:sz w:val="24"/>
          <w:szCs w:val="24"/>
        </w:rPr>
        <w:t>模具结构示意</w:t>
      </w:r>
    </w:p>
    <w:p w:rsidR="00BC1138" w:rsidRDefault="000B782D" w:rsidP="00BC1138">
      <w:pPr>
        <w:spacing w:line="360" w:lineRule="auto"/>
        <w:ind w:left="0" w:firstLine="0"/>
        <w:jc w:val="center"/>
        <w:rPr>
          <w:rFonts w:cs="Times New Roman"/>
          <w:bCs/>
          <w:sz w:val="24"/>
          <w:szCs w:val="24"/>
        </w:rPr>
      </w:pPr>
      <w:r w:rsidRPr="00181382">
        <w:rPr>
          <w:b/>
          <w:bCs/>
          <w:noProof/>
        </w:rPr>
        <w:lastRenderedPageBreak/>
        <w:drawing>
          <wp:inline distT="0" distB="0" distL="0" distR="0" wp14:anchorId="4A08CD2F" wp14:editId="4EB44FD3">
            <wp:extent cx="3988084" cy="2293288"/>
            <wp:effectExtent l="0" t="0" r="0" b="0"/>
            <wp:docPr id="5" name="图片 5" descr="d:\lqin\Desktop\图片\新建文件夹 (2)\418c2dac40c544f8c5040683a824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qin\Desktop\图片\新建文件夹 (2)\418c2dac40c544f8c5040683a824a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266" cy="2320420"/>
                    </a:xfrm>
                    <a:prstGeom prst="rect">
                      <a:avLst/>
                    </a:prstGeom>
                    <a:noFill/>
                    <a:ln>
                      <a:noFill/>
                    </a:ln>
                  </pic:spPr>
                </pic:pic>
              </a:graphicData>
            </a:graphic>
          </wp:inline>
        </w:drawing>
      </w:r>
    </w:p>
    <w:p w:rsidR="007468E8" w:rsidRDefault="007468E8" w:rsidP="00D37183">
      <w:pPr>
        <w:numPr>
          <w:ilvl w:val="0"/>
          <w:numId w:val="38"/>
        </w:numPr>
        <w:spacing w:line="360" w:lineRule="auto"/>
        <w:jc w:val="left"/>
        <w:rPr>
          <w:rFonts w:cs="Times New Roman"/>
          <w:bCs/>
          <w:sz w:val="24"/>
          <w:szCs w:val="24"/>
        </w:rPr>
      </w:pPr>
      <w:r>
        <w:rPr>
          <w:rFonts w:cs="Times New Roman" w:hint="eastAsia"/>
          <w:bCs/>
          <w:sz w:val="24"/>
          <w:szCs w:val="24"/>
        </w:rPr>
        <w:t>模具参数</w:t>
      </w:r>
    </w:p>
    <w:tbl>
      <w:tblPr>
        <w:tblStyle w:val="a8"/>
        <w:tblW w:w="8784" w:type="dxa"/>
        <w:tblLook w:val="04A0" w:firstRow="1" w:lastRow="0" w:firstColumn="1" w:lastColumn="0" w:noHBand="0" w:noVBand="1"/>
      </w:tblPr>
      <w:tblGrid>
        <w:gridCol w:w="851"/>
        <w:gridCol w:w="1843"/>
        <w:gridCol w:w="3685"/>
        <w:gridCol w:w="2405"/>
      </w:tblGrid>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序号</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项目</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技术要求</w:t>
            </w:r>
          </w:p>
        </w:tc>
        <w:tc>
          <w:tcPr>
            <w:tcW w:w="240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备注</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1</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模具要求</w:t>
            </w:r>
          </w:p>
        </w:tc>
        <w:tc>
          <w:tcPr>
            <w:tcW w:w="3685" w:type="dxa"/>
          </w:tcPr>
          <w:p w:rsidR="00945388" w:rsidRDefault="00945388" w:rsidP="00CA2672">
            <w:pPr>
              <w:spacing w:line="360" w:lineRule="auto"/>
              <w:ind w:left="0" w:firstLine="0"/>
              <w:jc w:val="center"/>
              <w:rPr>
                <w:rFonts w:cs="Times New Roman"/>
                <w:bCs/>
                <w:sz w:val="24"/>
                <w:szCs w:val="24"/>
              </w:rPr>
            </w:pPr>
            <w:r>
              <w:rPr>
                <w:rFonts w:cs="Times New Roman" w:hint="eastAsia"/>
                <w:bCs/>
                <w:sz w:val="24"/>
                <w:szCs w:val="24"/>
              </w:rPr>
              <w:t>适用于囊式</w:t>
            </w:r>
            <w:r w:rsidR="0078606B">
              <w:rPr>
                <w:rFonts w:cs="Times New Roman"/>
                <w:bCs/>
                <w:sz w:val="24"/>
                <w:szCs w:val="24"/>
              </w:rPr>
              <w:t>1RV</w:t>
            </w:r>
            <w:r w:rsidR="001F7170">
              <w:rPr>
                <w:rFonts w:cs="Times New Roman"/>
                <w:bCs/>
                <w:sz w:val="24"/>
                <w:szCs w:val="24"/>
              </w:rPr>
              <w:t>2645</w:t>
            </w:r>
            <w:r>
              <w:rPr>
                <w:rFonts w:cs="Times New Roman" w:hint="eastAsia"/>
                <w:bCs/>
                <w:sz w:val="24"/>
                <w:szCs w:val="24"/>
              </w:rPr>
              <w:t>产品硫化</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满足产品尺寸</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2</w:t>
            </w:r>
          </w:p>
        </w:tc>
        <w:tc>
          <w:tcPr>
            <w:tcW w:w="1843"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热板尺寸</w:t>
            </w:r>
          </w:p>
        </w:tc>
        <w:tc>
          <w:tcPr>
            <w:tcW w:w="3685"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8</w:t>
            </w:r>
            <w:r>
              <w:rPr>
                <w:rFonts w:cs="Times New Roman"/>
                <w:bCs/>
                <w:sz w:val="24"/>
                <w:szCs w:val="24"/>
              </w:rPr>
              <w:t>50*850</w:t>
            </w:r>
            <w:r>
              <w:rPr>
                <w:rFonts w:cs="Times New Roman" w:hint="eastAsia"/>
                <w:bCs/>
                <w:sz w:val="24"/>
                <w:szCs w:val="24"/>
              </w:rPr>
              <w:t>mm</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适合热板安装尺寸</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3</w:t>
            </w:r>
          </w:p>
        </w:tc>
        <w:tc>
          <w:tcPr>
            <w:tcW w:w="1843"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c>
          <w:tcPr>
            <w:tcW w:w="368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300</w:t>
            </w:r>
            <w:r>
              <w:rPr>
                <w:rFonts w:cs="Times New Roman" w:hint="eastAsia"/>
                <w:bCs/>
                <w:sz w:val="24"/>
                <w:szCs w:val="24"/>
              </w:rPr>
              <w:t>mm</w:t>
            </w:r>
          </w:p>
        </w:tc>
        <w:tc>
          <w:tcPr>
            <w:tcW w:w="240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4</w:t>
            </w:r>
          </w:p>
        </w:tc>
        <w:tc>
          <w:tcPr>
            <w:tcW w:w="1843"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锁模力</w:t>
            </w:r>
          </w:p>
        </w:tc>
        <w:tc>
          <w:tcPr>
            <w:tcW w:w="3685"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5</w:t>
            </w:r>
            <w:r>
              <w:rPr>
                <w:rFonts w:cs="Times New Roman"/>
                <w:bCs/>
                <w:sz w:val="24"/>
                <w:szCs w:val="24"/>
              </w:rPr>
              <w:t>00KN</w:t>
            </w:r>
          </w:p>
        </w:tc>
        <w:tc>
          <w:tcPr>
            <w:tcW w:w="2405" w:type="dxa"/>
          </w:tcPr>
          <w:p w:rsidR="00662152" w:rsidRDefault="00662152"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5</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.6M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6</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氮气压力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≥2</w:t>
            </w:r>
            <w:r>
              <w:rPr>
                <w:rFonts w:cs="Times New Roman"/>
                <w:bCs/>
                <w:sz w:val="24"/>
                <w:szCs w:val="24"/>
              </w:rPr>
              <w:t>.5M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7</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蒸汽温度</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95</w:t>
            </w:r>
            <w:r>
              <w:rPr>
                <w:rFonts w:cs="Times New Roman" w:hint="eastAsia"/>
                <w:bCs/>
                <w:sz w:val="24"/>
                <w:szCs w:val="24"/>
              </w:rPr>
              <w:t>℃</w:t>
            </w:r>
          </w:p>
        </w:tc>
        <w:tc>
          <w:tcPr>
            <w:tcW w:w="2405" w:type="dxa"/>
          </w:tcPr>
          <w:p w:rsidR="00DD71FE" w:rsidRDefault="00DD71FE" w:rsidP="00945388">
            <w:pPr>
              <w:spacing w:line="360" w:lineRule="auto"/>
              <w:ind w:left="0" w:firstLine="0"/>
              <w:jc w:val="center"/>
              <w:rPr>
                <w:rFonts w:cs="Times New Roman"/>
                <w:bCs/>
                <w:sz w:val="24"/>
                <w:szCs w:val="24"/>
              </w:rPr>
            </w:pPr>
          </w:p>
        </w:tc>
      </w:tr>
    </w:tbl>
    <w:p w:rsidR="007468E8" w:rsidRDefault="007468E8" w:rsidP="00DD71FE">
      <w:pPr>
        <w:spacing w:line="360" w:lineRule="auto"/>
        <w:ind w:left="0" w:firstLine="0"/>
        <w:jc w:val="left"/>
        <w:rPr>
          <w:rFonts w:cs="Times New Roman"/>
          <w:bCs/>
          <w:sz w:val="24"/>
          <w:szCs w:val="24"/>
        </w:rPr>
      </w:pPr>
    </w:p>
    <w:p w:rsidR="006C46AE" w:rsidRPr="004F6F4A" w:rsidRDefault="00F0563E"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模具质量要求</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模具应为全新的能被正常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D912D9" w:rsidP="00DA5FC3">
      <w:pPr>
        <w:numPr>
          <w:ilvl w:val="0"/>
          <w:numId w:val="28"/>
        </w:numPr>
        <w:spacing w:line="360" w:lineRule="auto"/>
        <w:jc w:val="left"/>
        <w:rPr>
          <w:rFonts w:cs="Times New Roman"/>
          <w:sz w:val="24"/>
          <w:szCs w:val="20"/>
        </w:rPr>
      </w:pPr>
      <w:r>
        <w:rPr>
          <w:rFonts w:cs="Times New Roman" w:hint="eastAsia"/>
          <w:sz w:val="24"/>
          <w:szCs w:val="20"/>
        </w:rPr>
        <w:t>型腔粗糙度：光面Ra</w:t>
      </w:r>
      <w:r>
        <w:rPr>
          <w:rFonts w:cs="Times New Roman"/>
          <w:sz w:val="24"/>
          <w:szCs w:val="20"/>
        </w:rPr>
        <w:t>1.6</w:t>
      </w:r>
      <w:r>
        <w:rPr>
          <w:rFonts w:cs="Times New Roman" w:hint="eastAsia"/>
          <w:sz w:val="24"/>
          <w:szCs w:val="20"/>
        </w:rPr>
        <w:t>（磨砂、花纹等以产品要求为准）</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分型面粗糙度Ra</w:t>
      </w:r>
      <w:r>
        <w:rPr>
          <w:rFonts w:cs="Times New Roman"/>
          <w:sz w:val="24"/>
          <w:szCs w:val="20"/>
        </w:rPr>
        <w:t>1.6</w:t>
      </w:r>
      <w:r>
        <w:rPr>
          <w:rFonts w:cs="Times New Roman" w:hint="eastAsia"/>
          <w:sz w:val="24"/>
          <w:szCs w:val="20"/>
        </w:rPr>
        <w:t>，其余配合面粗糙度Ra</w:t>
      </w:r>
      <w:r>
        <w:rPr>
          <w:rFonts w:cs="Times New Roman"/>
          <w:sz w:val="24"/>
          <w:szCs w:val="20"/>
        </w:rPr>
        <w:t>3.2</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外观粗糙度Ra</w:t>
      </w:r>
      <w:r>
        <w:rPr>
          <w:rFonts w:cs="Times New Roman"/>
          <w:sz w:val="24"/>
          <w:szCs w:val="20"/>
        </w:rPr>
        <w:t>12.5</w:t>
      </w:r>
    </w:p>
    <w:p w:rsidR="00EF2D2C" w:rsidRDefault="00D912D9" w:rsidP="00EF2D2C">
      <w:pPr>
        <w:numPr>
          <w:ilvl w:val="0"/>
          <w:numId w:val="28"/>
        </w:numPr>
        <w:spacing w:line="360" w:lineRule="auto"/>
        <w:jc w:val="left"/>
        <w:rPr>
          <w:sz w:val="24"/>
        </w:rPr>
      </w:pPr>
      <w:r>
        <w:rPr>
          <w:rFonts w:hint="eastAsia"/>
          <w:sz w:val="24"/>
        </w:rPr>
        <w:t>型腔直径公差±</w:t>
      </w:r>
      <w:r>
        <w:rPr>
          <w:sz w:val="24"/>
        </w:rPr>
        <w:t>0.05</w:t>
      </w:r>
      <w:r>
        <w:rPr>
          <w:rFonts w:hint="eastAsia"/>
          <w:sz w:val="24"/>
        </w:rPr>
        <w:t>mm，单个工件型腔高度公差±</w:t>
      </w:r>
      <w:r>
        <w:rPr>
          <w:sz w:val="24"/>
        </w:rPr>
        <w:t>0.05</w:t>
      </w:r>
      <w:r>
        <w:rPr>
          <w:rFonts w:hint="eastAsia"/>
          <w:sz w:val="24"/>
        </w:rPr>
        <w:t>mm，型腔上下端同轴度0</w:t>
      </w:r>
      <w:r>
        <w:rPr>
          <w:sz w:val="24"/>
        </w:rPr>
        <w:t>.05</w:t>
      </w:r>
      <w:r>
        <w:rPr>
          <w:rFonts w:hint="eastAsia"/>
          <w:sz w:val="24"/>
        </w:rPr>
        <w:t>mm</w:t>
      </w:r>
    </w:p>
    <w:p w:rsidR="00EF2D2C" w:rsidRPr="00EF2D2C" w:rsidRDefault="00D912D9" w:rsidP="00EF2D2C">
      <w:pPr>
        <w:numPr>
          <w:ilvl w:val="0"/>
          <w:numId w:val="28"/>
        </w:numPr>
        <w:spacing w:line="360" w:lineRule="auto"/>
        <w:jc w:val="left"/>
        <w:rPr>
          <w:sz w:val="24"/>
        </w:rPr>
      </w:pPr>
      <w:r>
        <w:rPr>
          <w:rFonts w:hint="eastAsia"/>
          <w:sz w:val="24"/>
        </w:rPr>
        <w:t>模具材质：主体材质3</w:t>
      </w:r>
      <w:r>
        <w:rPr>
          <w:sz w:val="24"/>
        </w:rPr>
        <w:t>5</w:t>
      </w:r>
      <w:r>
        <w:rPr>
          <w:rFonts w:hint="eastAsia"/>
          <w:sz w:val="24"/>
        </w:rPr>
        <w:t>#钢</w:t>
      </w:r>
      <w:r w:rsidR="0078606B">
        <w:rPr>
          <w:rFonts w:hint="eastAsia"/>
          <w:sz w:val="24"/>
        </w:rPr>
        <w:t>，活络部分4</w:t>
      </w:r>
      <w:r w:rsidR="0078606B">
        <w:rPr>
          <w:sz w:val="24"/>
        </w:rPr>
        <w:t>0C</w:t>
      </w:r>
      <w:r w:rsidR="0078606B">
        <w:rPr>
          <w:rFonts w:hint="eastAsia"/>
          <w:sz w:val="24"/>
        </w:rPr>
        <w:t>r</w:t>
      </w:r>
      <w:r w:rsidR="0078606B">
        <w:rPr>
          <w:sz w:val="24"/>
        </w:rPr>
        <w:t>/42C</w:t>
      </w:r>
      <w:r w:rsidR="0078606B">
        <w:rPr>
          <w:rFonts w:hint="eastAsia"/>
          <w:sz w:val="24"/>
        </w:rPr>
        <w:t>r</w:t>
      </w:r>
      <w:r w:rsidR="0078606B">
        <w:rPr>
          <w:sz w:val="24"/>
        </w:rPr>
        <w:t>M</w:t>
      </w:r>
      <w:r w:rsidR="0078606B">
        <w:rPr>
          <w:rFonts w:hint="eastAsia"/>
          <w:sz w:val="24"/>
        </w:rPr>
        <w:t>o（调质处理）</w:t>
      </w:r>
    </w:p>
    <w:p w:rsidR="00EF2D2C" w:rsidRDefault="00D912D9" w:rsidP="00EF2D2C">
      <w:pPr>
        <w:numPr>
          <w:ilvl w:val="0"/>
          <w:numId w:val="28"/>
        </w:numPr>
        <w:spacing w:line="360" w:lineRule="auto"/>
        <w:jc w:val="left"/>
        <w:rPr>
          <w:sz w:val="24"/>
        </w:rPr>
      </w:pPr>
      <w:r>
        <w:rPr>
          <w:rFonts w:hint="eastAsia"/>
          <w:sz w:val="24"/>
        </w:rPr>
        <w:lastRenderedPageBreak/>
        <w:t>模具到货时必须带模具验收报告、模具检测数据报告、配件清单等文件</w:t>
      </w:r>
    </w:p>
    <w:p w:rsidR="00D912D9" w:rsidRDefault="00D912D9" w:rsidP="00EF2D2C">
      <w:pPr>
        <w:numPr>
          <w:ilvl w:val="0"/>
          <w:numId w:val="28"/>
        </w:numPr>
        <w:spacing w:line="360" w:lineRule="auto"/>
        <w:jc w:val="left"/>
        <w:rPr>
          <w:sz w:val="24"/>
        </w:rPr>
      </w:pPr>
      <w:r>
        <w:rPr>
          <w:rFonts w:hint="eastAsia"/>
          <w:sz w:val="24"/>
        </w:rPr>
        <w:t>模具在试用过程中出现质量问题，能够迅速采取有效措施，在短时间内彻底解决问题，并且要求后续加工的模具不得出现同样问题。</w:t>
      </w:r>
    </w:p>
    <w:p w:rsidR="00883B1B" w:rsidRDefault="00883B1B" w:rsidP="00EF2D2C">
      <w:pPr>
        <w:numPr>
          <w:ilvl w:val="0"/>
          <w:numId w:val="28"/>
        </w:numPr>
        <w:spacing w:line="360" w:lineRule="auto"/>
        <w:jc w:val="left"/>
        <w:rPr>
          <w:sz w:val="24"/>
        </w:rPr>
      </w:pPr>
      <w:r>
        <w:rPr>
          <w:rFonts w:hint="eastAsia"/>
          <w:sz w:val="24"/>
        </w:rPr>
        <w:t>模具结构设计需考虑安装便利性，设计安装吊装位置。</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32677B" w:rsidP="0078211A">
      <w:pPr>
        <w:numPr>
          <w:ilvl w:val="0"/>
          <w:numId w:val="32"/>
        </w:numPr>
        <w:spacing w:line="360" w:lineRule="auto"/>
        <w:jc w:val="left"/>
        <w:rPr>
          <w:rFonts w:cs="Times New Roman"/>
          <w:sz w:val="24"/>
          <w:szCs w:val="20"/>
        </w:rPr>
      </w:pPr>
      <w:r>
        <w:rPr>
          <w:rFonts w:cs="Times New Roman" w:hint="eastAsia"/>
          <w:sz w:val="24"/>
          <w:szCs w:val="20"/>
        </w:rPr>
        <w:t>模具外形图及公用工程接口尺寸</w:t>
      </w:r>
      <w:r w:rsidR="0078211A" w:rsidRPr="007258C7">
        <w:rPr>
          <w:rFonts w:cs="Times New Roman" w:hint="eastAsia"/>
          <w:sz w:val="24"/>
          <w:szCs w:val="20"/>
        </w:rPr>
        <w:t>,在合同生效后</w:t>
      </w:r>
      <w:r>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32677B" w:rsidP="002E2E6C">
      <w:pPr>
        <w:numPr>
          <w:ilvl w:val="0"/>
          <w:numId w:val="32"/>
        </w:numPr>
        <w:spacing w:line="360" w:lineRule="auto"/>
        <w:jc w:val="left"/>
        <w:rPr>
          <w:rFonts w:cs="Times New Roman"/>
          <w:sz w:val="24"/>
          <w:szCs w:val="20"/>
        </w:rPr>
      </w:pPr>
      <w:r>
        <w:rPr>
          <w:rFonts w:cs="Times New Roman" w:hint="eastAsia"/>
          <w:sz w:val="24"/>
          <w:szCs w:val="20"/>
        </w:rPr>
        <w:t>模具</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091A07">
        <w:rPr>
          <w:rFonts w:cs="Times New Roman" w:hint="eastAsia"/>
          <w:sz w:val="24"/>
          <w:szCs w:val="20"/>
        </w:rPr>
        <w:t>模具</w:t>
      </w:r>
      <w:r w:rsidRPr="007258C7">
        <w:rPr>
          <w:rFonts w:cs="Times New Roman" w:hint="eastAsia"/>
          <w:sz w:val="24"/>
          <w:szCs w:val="20"/>
        </w:rPr>
        <w:t>安装结束后，甲方根据技术协议要求或者公司内控标准，对</w:t>
      </w:r>
      <w:r w:rsidR="00091A07">
        <w:rPr>
          <w:rFonts w:cs="Times New Roman" w:hint="eastAsia"/>
          <w:sz w:val="24"/>
          <w:szCs w:val="20"/>
        </w:rPr>
        <w:t>模具</w:t>
      </w:r>
      <w:r w:rsidR="00257EEF">
        <w:rPr>
          <w:rFonts w:cs="Times New Roman" w:hint="eastAsia"/>
          <w:sz w:val="24"/>
          <w:szCs w:val="20"/>
        </w:rPr>
        <w:t>精度</w:t>
      </w:r>
      <w:r w:rsidRPr="007258C7">
        <w:rPr>
          <w:rFonts w:cs="Times New Roman" w:hint="eastAsia"/>
          <w:sz w:val="24"/>
          <w:szCs w:val="20"/>
        </w:rPr>
        <w:t>以及</w:t>
      </w:r>
      <w:r w:rsidR="00091A07">
        <w:rPr>
          <w:rFonts w:cs="Times New Roman" w:hint="eastAsia"/>
          <w:sz w:val="24"/>
          <w:szCs w:val="20"/>
        </w:rPr>
        <w:t>模具</w:t>
      </w:r>
      <w:r w:rsidRPr="007258C7">
        <w:rPr>
          <w:rFonts w:cs="Times New Roman" w:hint="eastAsia"/>
          <w:sz w:val="24"/>
          <w:szCs w:val="20"/>
        </w:rPr>
        <w:t>安全保障工位有效性、工装连接位置尺寸等内容进行确认。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091A07" w:rsidP="00C1323E">
      <w:pPr>
        <w:spacing w:line="360" w:lineRule="auto"/>
        <w:ind w:leftChars="100" w:left="210" w:firstLineChars="200" w:firstLine="480"/>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t>性能满足买方空气弹簧硫化要求，外观，花纹，尺寸符合产品设计要求，经模具硫化后产品满足设计要求，进行验收。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w:t>
      </w:r>
      <w:r w:rsidR="00091A07">
        <w:rPr>
          <w:rFonts w:cs="Times New Roman" w:hint="eastAsia"/>
          <w:sz w:val="24"/>
          <w:szCs w:val="20"/>
        </w:rPr>
        <w:t>模具</w:t>
      </w:r>
      <w:r w:rsidRPr="007258C7">
        <w:rPr>
          <w:rFonts w:cs="Times New Roman" w:hint="eastAsia"/>
          <w:sz w:val="24"/>
          <w:szCs w:val="20"/>
        </w:rPr>
        <w:t>经甲方验收合格之次日起计；若质保期内，</w:t>
      </w:r>
      <w:r w:rsidR="00091A07">
        <w:rPr>
          <w:rFonts w:cs="Times New Roman" w:hint="eastAsia"/>
          <w:sz w:val="24"/>
          <w:szCs w:val="20"/>
        </w:rPr>
        <w:t>模具</w:t>
      </w:r>
      <w:r w:rsidRPr="007258C7">
        <w:rPr>
          <w:rFonts w:cs="Times New Roman" w:hint="eastAsia"/>
          <w:sz w:val="24"/>
          <w:szCs w:val="20"/>
        </w:rPr>
        <w:t>发生过更换的情况，则</w:t>
      </w:r>
      <w:r w:rsidR="00091A07">
        <w:rPr>
          <w:rFonts w:cs="Times New Roman" w:hint="eastAsia"/>
          <w:sz w:val="24"/>
          <w:szCs w:val="20"/>
        </w:rPr>
        <w:t>模具</w:t>
      </w:r>
      <w:r w:rsidRPr="007258C7">
        <w:rPr>
          <w:rFonts w:cs="Times New Roman" w:hint="eastAsia"/>
          <w:sz w:val="24"/>
          <w:szCs w:val="20"/>
        </w:rPr>
        <w:t>的质保期自更换之次日起重新计算，若质保期内，</w:t>
      </w:r>
      <w:r w:rsidR="00091A07">
        <w:rPr>
          <w:rFonts w:cs="Times New Roman" w:hint="eastAsia"/>
          <w:sz w:val="24"/>
          <w:szCs w:val="20"/>
        </w:rPr>
        <w:t>模具</w:t>
      </w:r>
      <w:r w:rsidRPr="007258C7">
        <w:rPr>
          <w:rFonts w:cs="Times New Roman" w:hint="eastAsia"/>
          <w:sz w:val="24"/>
          <w:szCs w:val="20"/>
        </w:rPr>
        <w:t>进行过修理，则</w:t>
      </w:r>
      <w:r w:rsidR="00091A07">
        <w:rPr>
          <w:rFonts w:cs="Times New Roman" w:hint="eastAsia"/>
          <w:sz w:val="24"/>
          <w:szCs w:val="20"/>
        </w:rPr>
        <w:t>模具</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lastRenderedPageBreak/>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091A07" w:rsidP="007258C7">
      <w:pPr>
        <w:numPr>
          <w:ilvl w:val="0"/>
          <w:numId w:val="34"/>
        </w:numPr>
        <w:spacing w:line="360" w:lineRule="auto"/>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w:t>
      </w:r>
      <w:r w:rsidR="00091A07">
        <w:rPr>
          <w:rFonts w:cs="Times New Roman" w:hint="eastAsia"/>
          <w:sz w:val="24"/>
          <w:szCs w:val="20"/>
        </w:rPr>
        <w:t>模具</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w:t>
      </w:r>
      <w:r w:rsidR="00091A07">
        <w:rPr>
          <w:rFonts w:cs="Times New Roman" w:hint="eastAsia"/>
          <w:sz w:val="24"/>
          <w:szCs w:val="24"/>
        </w:rPr>
        <w:t>模具</w:t>
      </w:r>
      <w:r w:rsidRPr="00AC3669">
        <w:rPr>
          <w:rFonts w:cs="Times New Roman" w:hint="eastAsia"/>
          <w:sz w:val="24"/>
          <w:szCs w:val="24"/>
        </w:rPr>
        <w:t>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w:t>
      </w:r>
      <w:r w:rsidR="00091A07">
        <w:rPr>
          <w:rFonts w:cs="Times New Roman" w:hint="eastAsia"/>
          <w:sz w:val="24"/>
          <w:szCs w:val="24"/>
        </w:rPr>
        <w:t>模具</w:t>
      </w:r>
      <w:r w:rsidRPr="00AC3669">
        <w:rPr>
          <w:rFonts w:cs="Times New Roman" w:hint="eastAsia"/>
          <w:sz w:val="24"/>
          <w:szCs w:val="24"/>
        </w:rPr>
        <w:t>。</w:t>
      </w:r>
    </w:p>
    <w:p w:rsidR="00BC22FD"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78606B">
        <w:rPr>
          <w:rFonts w:cs="Times New Roman" w:hint="eastAsia"/>
          <w:sz w:val="24"/>
          <w:szCs w:val="24"/>
        </w:rPr>
        <w:t>模具</w:t>
      </w:r>
      <w:r w:rsidR="00BC22FD" w:rsidRPr="00BC22FD">
        <w:rPr>
          <w:rFonts w:cs="Times New Roman"/>
          <w:sz w:val="24"/>
          <w:szCs w:val="24"/>
        </w:rPr>
        <w:t>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p>
    <w:p w:rsidR="0021360F" w:rsidRDefault="0021360F" w:rsidP="00741113">
      <w:pPr>
        <w:adjustRightInd w:val="0"/>
        <w:snapToGrid w:val="0"/>
        <w:spacing w:line="360" w:lineRule="auto"/>
        <w:ind w:left="0" w:firstLine="0"/>
        <w:jc w:val="left"/>
        <w:textAlignment w:val="baseline"/>
        <w:rPr>
          <w:rFonts w:cs="Times New Roman"/>
          <w:sz w:val="24"/>
          <w:szCs w:val="24"/>
        </w:rPr>
      </w:pPr>
    </w:p>
    <w:p w:rsidR="001F7170" w:rsidRDefault="001F7170" w:rsidP="00741113">
      <w:pPr>
        <w:adjustRightInd w:val="0"/>
        <w:snapToGrid w:val="0"/>
        <w:spacing w:line="360" w:lineRule="auto"/>
        <w:ind w:left="0" w:firstLine="0"/>
        <w:jc w:val="left"/>
        <w:textAlignment w:val="baseline"/>
        <w:rPr>
          <w:rFonts w:cs="Times New Roman"/>
          <w:sz w:val="24"/>
          <w:szCs w:val="24"/>
        </w:rPr>
      </w:pPr>
    </w:p>
    <w:p w:rsidR="001F7170" w:rsidRDefault="001F7170" w:rsidP="00741113">
      <w:pPr>
        <w:adjustRightInd w:val="0"/>
        <w:snapToGrid w:val="0"/>
        <w:spacing w:line="360" w:lineRule="auto"/>
        <w:ind w:left="0" w:firstLine="0"/>
        <w:jc w:val="left"/>
        <w:textAlignment w:val="baseline"/>
        <w:rPr>
          <w:rFonts w:cs="Times New Roman"/>
          <w:sz w:val="24"/>
          <w:szCs w:val="24"/>
        </w:rPr>
      </w:pPr>
    </w:p>
    <w:p w:rsidR="00CA2672" w:rsidRDefault="00CA2672" w:rsidP="00741113">
      <w:pPr>
        <w:adjustRightInd w:val="0"/>
        <w:snapToGrid w:val="0"/>
        <w:spacing w:line="360" w:lineRule="auto"/>
        <w:ind w:left="0" w:firstLine="0"/>
        <w:jc w:val="left"/>
        <w:textAlignment w:val="baseline"/>
        <w:rPr>
          <w:rFonts w:cs="Times New Roman"/>
          <w:sz w:val="24"/>
          <w:szCs w:val="24"/>
        </w:rPr>
      </w:pPr>
    </w:p>
    <w:p w:rsidR="00CA2672" w:rsidRDefault="00CA2672" w:rsidP="00741113">
      <w:pPr>
        <w:adjustRightInd w:val="0"/>
        <w:snapToGrid w:val="0"/>
        <w:spacing w:line="360" w:lineRule="auto"/>
        <w:ind w:left="0" w:firstLine="0"/>
        <w:jc w:val="left"/>
        <w:textAlignment w:val="baseline"/>
        <w:rPr>
          <w:rFonts w:cs="Times New Roman"/>
          <w:sz w:val="24"/>
          <w:szCs w:val="24"/>
        </w:rPr>
      </w:pPr>
    </w:p>
    <w:p w:rsidR="0021360F" w:rsidRDefault="0021360F" w:rsidP="0021360F">
      <w:pPr>
        <w:adjustRightInd w:val="0"/>
        <w:snapToGrid w:val="0"/>
        <w:spacing w:line="360" w:lineRule="auto"/>
        <w:jc w:val="left"/>
        <w:textAlignment w:val="baseline"/>
        <w:rPr>
          <w:rFonts w:cs="Times New Roman"/>
          <w:sz w:val="24"/>
          <w:szCs w:val="24"/>
        </w:rPr>
      </w:pPr>
      <w:r>
        <w:rPr>
          <w:rFonts w:cs="Times New Roman" w:hint="eastAsia"/>
          <w:sz w:val="24"/>
          <w:szCs w:val="24"/>
        </w:rPr>
        <w:lastRenderedPageBreak/>
        <w:t>附：硫化机相关数据</w:t>
      </w:r>
    </w:p>
    <w:p w:rsidR="0066103F" w:rsidRDefault="0066103F" w:rsidP="0021360F">
      <w:pPr>
        <w:adjustRightInd w:val="0"/>
        <w:snapToGrid w:val="0"/>
        <w:spacing w:line="360" w:lineRule="auto"/>
        <w:jc w:val="left"/>
        <w:textAlignment w:val="baseline"/>
        <w:rPr>
          <w:rFonts w:cs="Times New Roman"/>
          <w:noProof/>
          <w:sz w:val="24"/>
          <w:szCs w:val="24"/>
        </w:rPr>
      </w:pPr>
    </w:p>
    <w:p w:rsidR="0021360F" w:rsidRDefault="0021360F" w:rsidP="0021360F">
      <w:pPr>
        <w:adjustRightInd w:val="0"/>
        <w:snapToGrid w:val="0"/>
        <w:spacing w:line="360" w:lineRule="auto"/>
        <w:jc w:val="left"/>
        <w:textAlignment w:val="baseline"/>
        <w:rPr>
          <w:rFonts w:cs="Times New Roman"/>
          <w:sz w:val="24"/>
          <w:szCs w:val="24"/>
        </w:rPr>
      </w:pPr>
      <w:r w:rsidRPr="0021360F">
        <w:rPr>
          <w:rFonts w:cs="Times New Roman"/>
          <w:noProof/>
          <w:sz w:val="24"/>
          <w:szCs w:val="24"/>
        </w:rPr>
        <w:drawing>
          <wp:inline distT="0" distB="0" distL="0" distR="0">
            <wp:extent cx="6915471" cy="5081241"/>
            <wp:effectExtent l="2857" t="0" r="2858" b="2857"/>
            <wp:docPr id="1" name="图片 1" descr="C:\Users\jbzhao\AppData\Roaming\DingTalk\605952338_v2\ImageFiles\1697082358656_5AB8BEDB-7201-46c9-AFFC-9CE5634AAD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zhao\AppData\Roaming\DingTalk\605952338_v2\ImageFiles\1697082358656_5AB8BEDB-7201-46c9-AFFC-9CE5634AAD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6930128" cy="5092010"/>
                    </a:xfrm>
                    <a:prstGeom prst="rect">
                      <a:avLst/>
                    </a:prstGeom>
                    <a:noFill/>
                    <a:ln>
                      <a:noFill/>
                    </a:ln>
                  </pic:spPr>
                </pic:pic>
              </a:graphicData>
            </a:graphic>
          </wp:inline>
        </w:drawing>
      </w:r>
    </w:p>
    <w:p w:rsidR="0066103F" w:rsidRDefault="0066103F" w:rsidP="0021360F">
      <w:pPr>
        <w:adjustRightInd w:val="0"/>
        <w:snapToGrid w:val="0"/>
        <w:spacing w:line="360" w:lineRule="auto"/>
        <w:jc w:val="left"/>
        <w:textAlignment w:val="baseline"/>
        <w:rPr>
          <w:rFonts w:cs="Times New Roman"/>
          <w:sz w:val="24"/>
          <w:szCs w:val="24"/>
        </w:rPr>
      </w:pPr>
    </w:p>
    <w:p w:rsidR="0066103F" w:rsidRDefault="0066103F" w:rsidP="0021360F">
      <w:pPr>
        <w:adjustRightInd w:val="0"/>
        <w:snapToGrid w:val="0"/>
        <w:spacing w:line="360" w:lineRule="auto"/>
        <w:jc w:val="left"/>
        <w:textAlignment w:val="baseline"/>
        <w:rPr>
          <w:rFonts w:cs="Times New Roman"/>
          <w:sz w:val="24"/>
          <w:szCs w:val="24"/>
        </w:rPr>
      </w:pPr>
    </w:p>
    <w:p w:rsidR="0066103F" w:rsidRDefault="0066103F" w:rsidP="0021360F">
      <w:pPr>
        <w:adjustRightInd w:val="0"/>
        <w:snapToGrid w:val="0"/>
        <w:spacing w:line="360" w:lineRule="auto"/>
        <w:jc w:val="left"/>
        <w:textAlignment w:val="baseline"/>
        <w:rPr>
          <w:rFonts w:cs="Times New Roman"/>
          <w:sz w:val="24"/>
          <w:szCs w:val="24"/>
        </w:rPr>
      </w:pPr>
    </w:p>
    <w:p w:rsidR="001F7170" w:rsidRPr="00AC3669" w:rsidRDefault="001F7170" w:rsidP="00CA2672">
      <w:pPr>
        <w:adjustRightInd w:val="0"/>
        <w:snapToGrid w:val="0"/>
        <w:spacing w:line="360" w:lineRule="auto"/>
        <w:ind w:left="0" w:firstLine="0"/>
        <w:jc w:val="left"/>
        <w:textAlignment w:val="baseline"/>
        <w:rPr>
          <w:rFonts w:cs="Times New Roman"/>
          <w:sz w:val="24"/>
          <w:szCs w:val="24"/>
        </w:rPr>
      </w:pPr>
    </w:p>
    <w:sectPr w:rsidR="001F7170"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32" w:rsidRDefault="00E54D32" w:rsidP="006731AF">
      <w:r>
        <w:separator/>
      </w:r>
    </w:p>
  </w:endnote>
  <w:endnote w:type="continuationSeparator" w:id="0">
    <w:p w:rsidR="00E54D32" w:rsidRDefault="00E54D32"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32" w:rsidRDefault="00E54D32" w:rsidP="006731AF">
      <w:r>
        <w:separator/>
      </w:r>
    </w:p>
  </w:footnote>
  <w:footnote w:type="continuationSeparator" w:id="0">
    <w:p w:rsidR="00E54D32" w:rsidRDefault="00E54D32"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59AE"/>
    <w:rsid w:val="0006312F"/>
    <w:rsid w:val="00091A07"/>
    <w:rsid w:val="000A3425"/>
    <w:rsid w:val="000A3E88"/>
    <w:rsid w:val="000B782D"/>
    <w:rsid w:val="000F5BD3"/>
    <w:rsid w:val="00111A86"/>
    <w:rsid w:val="001131A6"/>
    <w:rsid w:val="00142005"/>
    <w:rsid w:val="00150C01"/>
    <w:rsid w:val="001533D5"/>
    <w:rsid w:val="00154760"/>
    <w:rsid w:val="00162515"/>
    <w:rsid w:val="001642F9"/>
    <w:rsid w:val="00172D10"/>
    <w:rsid w:val="00193C0E"/>
    <w:rsid w:val="001948EE"/>
    <w:rsid w:val="0019774E"/>
    <w:rsid w:val="001B622F"/>
    <w:rsid w:val="001D2CAA"/>
    <w:rsid w:val="001D56AD"/>
    <w:rsid w:val="001F7170"/>
    <w:rsid w:val="0021360F"/>
    <w:rsid w:val="00215FB9"/>
    <w:rsid w:val="002268B1"/>
    <w:rsid w:val="00257EEF"/>
    <w:rsid w:val="00262D22"/>
    <w:rsid w:val="00274112"/>
    <w:rsid w:val="002930A5"/>
    <w:rsid w:val="00297C34"/>
    <w:rsid w:val="002C3411"/>
    <w:rsid w:val="002D1492"/>
    <w:rsid w:val="002E2E6C"/>
    <w:rsid w:val="002F452B"/>
    <w:rsid w:val="003076DB"/>
    <w:rsid w:val="00322B05"/>
    <w:rsid w:val="0032677B"/>
    <w:rsid w:val="00354ADD"/>
    <w:rsid w:val="00364777"/>
    <w:rsid w:val="0037143D"/>
    <w:rsid w:val="0038671B"/>
    <w:rsid w:val="003A49F0"/>
    <w:rsid w:val="003B5973"/>
    <w:rsid w:val="003C4CB2"/>
    <w:rsid w:val="003E6FA0"/>
    <w:rsid w:val="003F2411"/>
    <w:rsid w:val="00406E83"/>
    <w:rsid w:val="004306D2"/>
    <w:rsid w:val="004370EA"/>
    <w:rsid w:val="0044421D"/>
    <w:rsid w:val="00444840"/>
    <w:rsid w:val="0047075E"/>
    <w:rsid w:val="0048799A"/>
    <w:rsid w:val="004A6984"/>
    <w:rsid w:val="004B1688"/>
    <w:rsid w:val="004D6FC5"/>
    <w:rsid w:val="004E6B45"/>
    <w:rsid w:val="004E77B6"/>
    <w:rsid w:val="004F6F4A"/>
    <w:rsid w:val="00507E0D"/>
    <w:rsid w:val="00510C7F"/>
    <w:rsid w:val="005623AD"/>
    <w:rsid w:val="00574AF0"/>
    <w:rsid w:val="005844FF"/>
    <w:rsid w:val="005A1060"/>
    <w:rsid w:val="005D0EE6"/>
    <w:rsid w:val="005E4633"/>
    <w:rsid w:val="005E5ADD"/>
    <w:rsid w:val="005F0ABA"/>
    <w:rsid w:val="00602348"/>
    <w:rsid w:val="00603836"/>
    <w:rsid w:val="006172EF"/>
    <w:rsid w:val="0062631A"/>
    <w:rsid w:val="0066103F"/>
    <w:rsid w:val="00662152"/>
    <w:rsid w:val="006731AF"/>
    <w:rsid w:val="006815B7"/>
    <w:rsid w:val="006C1621"/>
    <w:rsid w:val="006C46AE"/>
    <w:rsid w:val="006C694A"/>
    <w:rsid w:val="006C7C3D"/>
    <w:rsid w:val="006F25E6"/>
    <w:rsid w:val="006F7171"/>
    <w:rsid w:val="006F7251"/>
    <w:rsid w:val="00723277"/>
    <w:rsid w:val="007258C7"/>
    <w:rsid w:val="00732E91"/>
    <w:rsid w:val="00741113"/>
    <w:rsid w:val="007468E8"/>
    <w:rsid w:val="00746905"/>
    <w:rsid w:val="0078211A"/>
    <w:rsid w:val="0078606B"/>
    <w:rsid w:val="007B4F99"/>
    <w:rsid w:val="007C2772"/>
    <w:rsid w:val="007C47A0"/>
    <w:rsid w:val="007C5480"/>
    <w:rsid w:val="00820266"/>
    <w:rsid w:val="00824ACF"/>
    <w:rsid w:val="008636A3"/>
    <w:rsid w:val="00883A33"/>
    <w:rsid w:val="00883B1B"/>
    <w:rsid w:val="008B0B38"/>
    <w:rsid w:val="008E2747"/>
    <w:rsid w:val="008F2FBA"/>
    <w:rsid w:val="00926829"/>
    <w:rsid w:val="00931B86"/>
    <w:rsid w:val="00945388"/>
    <w:rsid w:val="009904BB"/>
    <w:rsid w:val="009C1706"/>
    <w:rsid w:val="009D169B"/>
    <w:rsid w:val="009D6ECA"/>
    <w:rsid w:val="009F0B6B"/>
    <w:rsid w:val="00A02285"/>
    <w:rsid w:val="00A051BC"/>
    <w:rsid w:val="00A1408F"/>
    <w:rsid w:val="00A1576A"/>
    <w:rsid w:val="00A225C4"/>
    <w:rsid w:val="00A55C6C"/>
    <w:rsid w:val="00A642F1"/>
    <w:rsid w:val="00A90822"/>
    <w:rsid w:val="00AA0C60"/>
    <w:rsid w:val="00AA4B7A"/>
    <w:rsid w:val="00AA5B21"/>
    <w:rsid w:val="00AB333F"/>
    <w:rsid w:val="00AC3669"/>
    <w:rsid w:val="00AC40B0"/>
    <w:rsid w:val="00AD1C59"/>
    <w:rsid w:val="00AD7752"/>
    <w:rsid w:val="00AD7FFB"/>
    <w:rsid w:val="00B02C87"/>
    <w:rsid w:val="00B0535C"/>
    <w:rsid w:val="00B1672E"/>
    <w:rsid w:val="00B17212"/>
    <w:rsid w:val="00B414BB"/>
    <w:rsid w:val="00B466D1"/>
    <w:rsid w:val="00B578E7"/>
    <w:rsid w:val="00BA4CC2"/>
    <w:rsid w:val="00BA4FEA"/>
    <w:rsid w:val="00BB65A7"/>
    <w:rsid w:val="00BC1138"/>
    <w:rsid w:val="00BC22FD"/>
    <w:rsid w:val="00BD27A1"/>
    <w:rsid w:val="00BD5294"/>
    <w:rsid w:val="00C00A86"/>
    <w:rsid w:val="00C01BA7"/>
    <w:rsid w:val="00C02016"/>
    <w:rsid w:val="00C1323E"/>
    <w:rsid w:val="00C157A8"/>
    <w:rsid w:val="00C254F7"/>
    <w:rsid w:val="00C3243D"/>
    <w:rsid w:val="00C36F8F"/>
    <w:rsid w:val="00C54502"/>
    <w:rsid w:val="00C61825"/>
    <w:rsid w:val="00C705F4"/>
    <w:rsid w:val="00CA2672"/>
    <w:rsid w:val="00CE1EE7"/>
    <w:rsid w:val="00CF72F7"/>
    <w:rsid w:val="00D06BC8"/>
    <w:rsid w:val="00D15FB6"/>
    <w:rsid w:val="00D30ED8"/>
    <w:rsid w:val="00D34C51"/>
    <w:rsid w:val="00D37183"/>
    <w:rsid w:val="00D37547"/>
    <w:rsid w:val="00D5517C"/>
    <w:rsid w:val="00D912D9"/>
    <w:rsid w:val="00DA5FC3"/>
    <w:rsid w:val="00DD0946"/>
    <w:rsid w:val="00DD6E18"/>
    <w:rsid w:val="00DD71FE"/>
    <w:rsid w:val="00E108C3"/>
    <w:rsid w:val="00E507B5"/>
    <w:rsid w:val="00E512E3"/>
    <w:rsid w:val="00E54D32"/>
    <w:rsid w:val="00E55D11"/>
    <w:rsid w:val="00E9141A"/>
    <w:rsid w:val="00EC0212"/>
    <w:rsid w:val="00EC0C8E"/>
    <w:rsid w:val="00EC1409"/>
    <w:rsid w:val="00EC1B57"/>
    <w:rsid w:val="00EF20C0"/>
    <w:rsid w:val="00EF2D2C"/>
    <w:rsid w:val="00F0563E"/>
    <w:rsid w:val="00F05DFB"/>
    <w:rsid w:val="00F35339"/>
    <w:rsid w:val="00F40B3A"/>
    <w:rsid w:val="00F4446F"/>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225F2"/>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629C9-6D62-445A-8987-5BEF3F67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6</cp:revision>
  <dcterms:created xsi:type="dcterms:W3CDTF">2023-12-04T03:49:00Z</dcterms:created>
  <dcterms:modified xsi:type="dcterms:W3CDTF">2024-11-28T02:54:00Z</dcterms:modified>
</cp:coreProperties>
</file>