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w:t>
      </w:r>
      <w:r w:rsidR="002524B4">
        <w:rPr>
          <w:rFonts w:cs="Arial" w:hint="eastAsia"/>
          <w:bCs/>
          <w:sz w:val="32"/>
          <w:szCs w:val="32"/>
        </w:rPr>
        <w:t>切边鼓</w:t>
      </w:r>
      <w:bookmarkStart w:id="0" w:name="_GoBack"/>
      <w:bookmarkEnd w:id="0"/>
    </w:p>
    <w:p w:rsidR="004E6B45" w:rsidRDefault="009D169B" w:rsidP="009D169B">
      <w:pPr>
        <w:jc w:val="center"/>
        <w:rPr>
          <w:rFonts w:cs="Arial"/>
          <w:bCs/>
          <w:sz w:val="32"/>
          <w:szCs w:val="32"/>
        </w:rPr>
      </w:pPr>
      <w:r w:rsidRPr="00FD15A5">
        <w:rPr>
          <w:rFonts w:cs="Arial" w:hint="eastAsia"/>
          <w:bCs/>
          <w:sz w:val="32"/>
          <w:szCs w:val="32"/>
        </w:rPr>
        <w:t>技术</w:t>
      </w:r>
      <w:r w:rsidR="007D1F90">
        <w:rPr>
          <w:rFonts w:cs="Arial" w:hint="eastAsia"/>
          <w:bCs/>
          <w:sz w:val="32"/>
          <w:szCs w:val="32"/>
        </w:rPr>
        <w:t>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006BA"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A55C6C" w:rsidRDefault="007468E8" w:rsidP="00D37183">
      <w:pPr>
        <w:pStyle w:val="a3"/>
        <w:spacing w:line="360" w:lineRule="auto"/>
        <w:ind w:left="567" w:firstLine="480"/>
        <w:rPr>
          <w:rFonts w:cs="Arial"/>
          <w:bCs/>
          <w:sz w:val="24"/>
          <w:szCs w:val="28"/>
        </w:rPr>
      </w:pPr>
      <w:r>
        <w:rPr>
          <w:rFonts w:cs="Arial" w:hint="eastAsia"/>
          <w:bCs/>
          <w:sz w:val="24"/>
          <w:szCs w:val="28"/>
        </w:rPr>
        <w:t>用于</w:t>
      </w:r>
      <w:r w:rsidR="002524B4">
        <w:rPr>
          <w:rFonts w:cs="Arial" w:hint="eastAsia"/>
          <w:bCs/>
          <w:sz w:val="24"/>
          <w:szCs w:val="28"/>
        </w:rPr>
        <w:t>空气弹簧</w:t>
      </w:r>
      <w:r w:rsidR="00A263A6">
        <w:rPr>
          <w:rFonts w:cs="Arial" w:hint="eastAsia"/>
          <w:bCs/>
          <w:sz w:val="24"/>
          <w:szCs w:val="28"/>
        </w:rPr>
        <w:t>袖式</w:t>
      </w:r>
      <w:r w:rsidR="002524B4">
        <w:rPr>
          <w:rFonts w:cs="Arial" w:hint="eastAsia"/>
          <w:bCs/>
          <w:sz w:val="24"/>
          <w:szCs w:val="28"/>
        </w:rPr>
        <w:t>1</w:t>
      </w:r>
      <w:r w:rsidR="00A263A6">
        <w:rPr>
          <w:rFonts w:cs="Arial"/>
          <w:bCs/>
          <w:sz w:val="24"/>
          <w:szCs w:val="28"/>
        </w:rPr>
        <w:t>SV</w:t>
      </w:r>
      <w:r w:rsidR="00633118">
        <w:rPr>
          <w:rFonts w:cs="Arial"/>
          <w:bCs/>
          <w:sz w:val="24"/>
          <w:szCs w:val="28"/>
        </w:rPr>
        <w:t>1900</w:t>
      </w:r>
      <w:r w:rsidR="002524B4">
        <w:rPr>
          <w:rFonts w:cs="Arial"/>
          <w:bCs/>
          <w:sz w:val="24"/>
          <w:szCs w:val="28"/>
        </w:rPr>
        <w:t>、</w:t>
      </w:r>
      <w:r w:rsidR="002524B4">
        <w:rPr>
          <w:rFonts w:cs="Arial" w:hint="eastAsia"/>
          <w:bCs/>
          <w:sz w:val="24"/>
          <w:szCs w:val="28"/>
        </w:rPr>
        <w:t>1</w:t>
      </w:r>
      <w:r w:rsidR="00A263A6">
        <w:rPr>
          <w:rFonts w:cs="Arial"/>
          <w:bCs/>
          <w:sz w:val="24"/>
          <w:szCs w:val="28"/>
        </w:rPr>
        <w:t>S</w:t>
      </w:r>
      <w:r w:rsidR="00633118">
        <w:rPr>
          <w:rFonts w:cs="Arial"/>
          <w:bCs/>
          <w:sz w:val="24"/>
          <w:szCs w:val="28"/>
        </w:rPr>
        <w:t>A2900</w:t>
      </w:r>
      <w:r w:rsidR="009F098D">
        <w:rPr>
          <w:rFonts w:cs="Arial" w:hint="eastAsia"/>
          <w:bCs/>
          <w:sz w:val="24"/>
          <w:szCs w:val="28"/>
        </w:rPr>
        <w:t>两</w:t>
      </w:r>
      <w:r w:rsidR="00A263A6">
        <w:rPr>
          <w:rFonts w:cs="Arial" w:hint="eastAsia"/>
          <w:bCs/>
          <w:sz w:val="24"/>
          <w:szCs w:val="28"/>
        </w:rPr>
        <w:t>款</w:t>
      </w:r>
      <w:r w:rsidR="002524B4">
        <w:rPr>
          <w:rFonts w:cs="Arial"/>
          <w:bCs/>
          <w:sz w:val="24"/>
          <w:szCs w:val="28"/>
        </w:rPr>
        <w:t>产品</w:t>
      </w:r>
      <w:r w:rsidR="002524B4">
        <w:rPr>
          <w:rFonts w:cs="Arial" w:hint="eastAsia"/>
          <w:bCs/>
          <w:sz w:val="24"/>
          <w:szCs w:val="28"/>
        </w:rPr>
        <w:t>切边使用</w:t>
      </w:r>
      <w:r w:rsidR="00633118">
        <w:rPr>
          <w:rFonts w:cs="Arial" w:hint="eastAsia"/>
          <w:bCs/>
          <w:sz w:val="24"/>
          <w:szCs w:val="28"/>
        </w:rPr>
        <w:t>。</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DE7BF3">
        <w:rPr>
          <w:rFonts w:cs="Arial" w:hint="eastAsia"/>
          <w:bCs/>
          <w:color w:val="000000" w:themeColor="text1"/>
          <w:sz w:val="28"/>
          <w:szCs w:val="28"/>
        </w:rPr>
        <w:t>每种规格1套，共计</w:t>
      </w:r>
      <w:r w:rsidR="00633118">
        <w:rPr>
          <w:rFonts w:cs="Arial"/>
          <w:bCs/>
          <w:color w:val="000000" w:themeColor="text1"/>
          <w:sz w:val="28"/>
          <w:szCs w:val="28"/>
        </w:rPr>
        <w:t>2</w:t>
      </w:r>
      <w:r w:rsidR="00DE7BF3">
        <w:rPr>
          <w:rFonts w:cs="Arial" w:hint="eastAsia"/>
          <w:bCs/>
          <w:color w:val="000000" w:themeColor="text1"/>
          <w:sz w:val="28"/>
          <w:szCs w:val="28"/>
        </w:rPr>
        <w:t>套。</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w:t>
      </w:r>
      <w:r w:rsidR="00633118">
        <w:rPr>
          <w:rFonts w:cs="Arial"/>
          <w:bCs/>
          <w:color w:val="000000" w:themeColor="text1"/>
          <w:sz w:val="24"/>
          <w:szCs w:val="28"/>
        </w:rPr>
        <w:t>4</w:t>
      </w:r>
      <w:r w:rsidR="004306D2" w:rsidRPr="00A55C6C">
        <w:rPr>
          <w:rFonts w:cs="Arial" w:hint="eastAsia"/>
          <w:bCs/>
          <w:color w:val="000000" w:themeColor="text1"/>
          <w:sz w:val="24"/>
          <w:szCs w:val="28"/>
        </w:rPr>
        <w:t>年</w:t>
      </w:r>
      <w:r w:rsidR="002524B4">
        <w:rPr>
          <w:rFonts w:cs="Arial"/>
          <w:bCs/>
          <w:color w:val="000000" w:themeColor="text1"/>
          <w:sz w:val="24"/>
          <w:szCs w:val="28"/>
        </w:rPr>
        <w:t>12</w:t>
      </w:r>
      <w:r w:rsidR="004306D2" w:rsidRPr="00A55C6C">
        <w:rPr>
          <w:rFonts w:cs="Arial" w:hint="eastAsia"/>
          <w:bCs/>
          <w:color w:val="000000" w:themeColor="text1"/>
          <w:sz w:val="24"/>
          <w:szCs w:val="28"/>
        </w:rPr>
        <w:t>月</w:t>
      </w:r>
      <w:r w:rsidR="002524B4">
        <w:rPr>
          <w:rFonts w:cs="Arial"/>
          <w:bCs/>
          <w:color w:val="000000" w:themeColor="text1"/>
          <w:sz w:val="24"/>
          <w:szCs w:val="28"/>
        </w:rPr>
        <w:t>30</w:t>
      </w:r>
      <w:r w:rsidR="004306D2" w:rsidRPr="00A55C6C">
        <w:rPr>
          <w:rFonts w:cs="Arial" w:hint="eastAsia"/>
          <w:bCs/>
          <w:color w:val="000000" w:themeColor="text1"/>
          <w:sz w:val="24"/>
          <w:szCs w:val="28"/>
        </w:rPr>
        <w:t>日</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r w:rsidR="00883B1B">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1375"/>
        <w:gridCol w:w="1624"/>
        <w:gridCol w:w="2807"/>
        <w:gridCol w:w="3224"/>
      </w:tblGrid>
      <w:tr w:rsidR="00F817C4" w:rsidRPr="00FD15A5" w:rsidTr="004271C6">
        <w:trPr>
          <w:trHeight w:val="356"/>
          <w:jc w:val="center"/>
        </w:trPr>
        <w:tc>
          <w:tcPr>
            <w:tcW w:w="888" w:type="dxa"/>
            <w:shd w:val="clear" w:color="auto" w:fill="auto"/>
            <w:vAlign w:val="center"/>
          </w:tcPr>
          <w:p w:rsidR="00F817C4" w:rsidRPr="00FD15A5" w:rsidRDefault="00F817C4" w:rsidP="00D37183">
            <w:pPr>
              <w:spacing w:line="360" w:lineRule="auto"/>
              <w:ind w:rightChars="16" w:right="34"/>
              <w:jc w:val="center"/>
              <w:rPr>
                <w:sz w:val="24"/>
              </w:rPr>
            </w:pPr>
            <w:r w:rsidRPr="00FD15A5">
              <w:rPr>
                <w:rFonts w:hint="eastAsia"/>
                <w:sz w:val="24"/>
              </w:rPr>
              <w:t>序号</w:t>
            </w:r>
          </w:p>
        </w:tc>
        <w:tc>
          <w:tcPr>
            <w:tcW w:w="1375" w:type="dxa"/>
            <w:shd w:val="clear" w:color="auto" w:fill="auto"/>
            <w:vAlign w:val="center"/>
          </w:tcPr>
          <w:p w:rsidR="00F817C4" w:rsidRPr="00FD15A5" w:rsidRDefault="00F817C4" w:rsidP="006F25E6">
            <w:pPr>
              <w:spacing w:line="360" w:lineRule="auto"/>
              <w:jc w:val="center"/>
              <w:rPr>
                <w:sz w:val="24"/>
              </w:rPr>
            </w:pPr>
            <w:r w:rsidRPr="00FD15A5">
              <w:rPr>
                <w:rFonts w:hint="eastAsia"/>
                <w:sz w:val="24"/>
              </w:rPr>
              <w:t>名称</w:t>
            </w:r>
          </w:p>
        </w:tc>
        <w:tc>
          <w:tcPr>
            <w:tcW w:w="1624" w:type="dxa"/>
            <w:shd w:val="clear" w:color="auto" w:fill="auto"/>
            <w:vAlign w:val="center"/>
          </w:tcPr>
          <w:p w:rsidR="00F817C4" w:rsidRDefault="00F817C4" w:rsidP="006F25E6">
            <w:pPr>
              <w:spacing w:line="360" w:lineRule="auto"/>
              <w:jc w:val="center"/>
              <w:rPr>
                <w:sz w:val="24"/>
              </w:rPr>
            </w:pPr>
            <w:r w:rsidRPr="00FD15A5">
              <w:rPr>
                <w:rFonts w:hint="eastAsia"/>
                <w:sz w:val="24"/>
              </w:rPr>
              <w:t>数量</w:t>
            </w:r>
          </w:p>
          <w:p w:rsidR="00F817C4" w:rsidRPr="00FD15A5" w:rsidRDefault="00F817C4" w:rsidP="006F25E6">
            <w:pPr>
              <w:spacing w:line="360" w:lineRule="auto"/>
              <w:jc w:val="center"/>
              <w:rPr>
                <w:sz w:val="24"/>
              </w:rPr>
            </w:pPr>
            <w:r>
              <w:rPr>
                <w:rFonts w:hint="eastAsia"/>
                <w:sz w:val="24"/>
              </w:rPr>
              <w:t>（</w:t>
            </w:r>
            <w:r w:rsidRPr="00FD15A5">
              <w:rPr>
                <w:rFonts w:hint="eastAsia"/>
                <w:sz w:val="24"/>
              </w:rPr>
              <w:t>单位</w:t>
            </w:r>
            <w:r>
              <w:rPr>
                <w:rFonts w:hint="eastAsia"/>
                <w:sz w:val="24"/>
              </w:rPr>
              <w:t>）</w:t>
            </w:r>
          </w:p>
        </w:tc>
        <w:tc>
          <w:tcPr>
            <w:tcW w:w="2807" w:type="dxa"/>
            <w:vAlign w:val="center"/>
          </w:tcPr>
          <w:p w:rsidR="00F817C4" w:rsidRDefault="00F817C4" w:rsidP="006F25E6">
            <w:pPr>
              <w:spacing w:line="360" w:lineRule="auto"/>
              <w:jc w:val="center"/>
              <w:rPr>
                <w:sz w:val="24"/>
              </w:rPr>
            </w:pPr>
            <w:r>
              <w:rPr>
                <w:rFonts w:hint="eastAsia"/>
                <w:sz w:val="24"/>
              </w:rPr>
              <w:t>规格参数</w:t>
            </w:r>
          </w:p>
        </w:tc>
        <w:tc>
          <w:tcPr>
            <w:tcW w:w="3224" w:type="dxa"/>
            <w:vAlign w:val="center"/>
          </w:tcPr>
          <w:p w:rsidR="00F817C4" w:rsidRPr="00FD15A5" w:rsidRDefault="00F817C4" w:rsidP="006F25E6">
            <w:pPr>
              <w:spacing w:line="360" w:lineRule="auto"/>
              <w:jc w:val="center"/>
              <w:rPr>
                <w:sz w:val="24"/>
              </w:rPr>
            </w:pPr>
            <w:r>
              <w:rPr>
                <w:rFonts w:hint="eastAsia"/>
                <w:sz w:val="24"/>
              </w:rPr>
              <w:t>备注</w:t>
            </w:r>
          </w:p>
        </w:tc>
      </w:tr>
      <w:tr w:rsidR="00F817C4" w:rsidRPr="00FD15A5" w:rsidTr="004271C6">
        <w:trPr>
          <w:trHeight w:val="345"/>
          <w:jc w:val="center"/>
        </w:trPr>
        <w:tc>
          <w:tcPr>
            <w:tcW w:w="888" w:type="dxa"/>
            <w:shd w:val="clear" w:color="auto" w:fill="auto"/>
            <w:vAlign w:val="center"/>
          </w:tcPr>
          <w:p w:rsidR="00F817C4" w:rsidRPr="00FD15A5" w:rsidRDefault="00F817C4" w:rsidP="00D37183">
            <w:pPr>
              <w:spacing w:line="360" w:lineRule="auto"/>
              <w:jc w:val="center"/>
              <w:rPr>
                <w:rFonts w:cs="Times New Roman"/>
                <w:sz w:val="24"/>
                <w:szCs w:val="24"/>
              </w:rPr>
            </w:pPr>
            <w:r w:rsidRPr="00FD15A5">
              <w:rPr>
                <w:rFonts w:cs="Times New Roman" w:hint="eastAsia"/>
                <w:sz w:val="24"/>
                <w:szCs w:val="24"/>
              </w:rPr>
              <w:t>1</w:t>
            </w:r>
          </w:p>
        </w:tc>
        <w:tc>
          <w:tcPr>
            <w:tcW w:w="1375" w:type="dxa"/>
            <w:shd w:val="clear" w:color="auto" w:fill="auto"/>
            <w:vAlign w:val="center"/>
          </w:tcPr>
          <w:p w:rsidR="00F817C4" w:rsidRPr="004271C6" w:rsidRDefault="00F817C4" w:rsidP="00EC2ACF">
            <w:pPr>
              <w:spacing w:line="360" w:lineRule="auto"/>
              <w:ind w:left="0" w:firstLine="0"/>
              <w:jc w:val="center"/>
              <w:rPr>
                <w:rFonts w:cs="Arial"/>
                <w:bCs/>
                <w:color w:val="000000" w:themeColor="text1"/>
                <w:sz w:val="24"/>
                <w:szCs w:val="28"/>
              </w:rPr>
            </w:pPr>
            <w:r w:rsidRPr="004271C6">
              <w:rPr>
                <w:rFonts w:cs="Arial" w:hint="eastAsia"/>
                <w:bCs/>
                <w:color w:val="000000" w:themeColor="text1"/>
                <w:sz w:val="24"/>
                <w:szCs w:val="28"/>
              </w:rPr>
              <w:t>空气弹簧切边锥鼓</w:t>
            </w:r>
          </w:p>
        </w:tc>
        <w:tc>
          <w:tcPr>
            <w:tcW w:w="1624" w:type="dxa"/>
            <w:shd w:val="clear" w:color="auto" w:fill="auto"/>
            <w:vAlign w:val="center"/>
          </w:tcPr>
          <w:p w:rsidR="00F817C4" w:rsidRPr="00FD15A5" w:rsidRDefault="00F817C4" w:rsidP="00DA5FC3">
            <w:pPr>
              <w:spacing w:line="360" w:lineRule="auto"/>
              <w:jc w:val="center"/>
              <w:rPr>
                <w:rFonts w:cs="Times New Roman"/>
                <w:sz w:val="24"/>
                <w:szCs w:val="24"/>
              </w:rPr>
            </w:pPr>
            <w:r>
              <w:rPr>
                <w:rFonts w:cs="Times New Roman" w:hint="eastAsia"/>
                <w:sz w:val="24"/>
                <w:szCs w:val="24"/>
              </w:rPr>
              <w:t>1套</w:t>
            </w:r>
          </w:p>
        </w:tc>
        <w:tc>
          <w:tcPr>
            <w:tcW w:w="2807" w:type="dxa"/>
            <w:vAlign w:val="center"/>
          </w:tcPr>
          <w:p w:rsidR="00F817C4" w:rsidRDefault="00AC367D" w:rsidP="00385EB2">
            <w:pPr>
              <w:spacing w:line="360" w:lineRule="auto"/>
              <w:ind w:left="0" w:firstLine="0"/>
              <w:jc w:val="center"/>
              <w:rPr>
                <w:rFonts w:cs="Times New Roman"/>
                <w:sz w:val="24"/>
                <w:szCs w:val="24"/>
              </w:rPr>
            </w:pPr>
            <w:r>
              <w:rPr>
                <w:rFonts w:cs="Times New Roman" w:hint="eastAsia"/>
                <w:sz w:val="24"/>
                <w:szCs w:val="24"/>
              </w:rPr>
              <w:t>产品参数：大头1</w:t>
            </w:r>
            <w:r>
              <w:rPr>
                <w:rFonts w:cs="Times New Roman"/>
                <w:sz w:val="24"/>
                <w:szCs w:val="24"/>
              </w:rPr>
              <w:t>25</w:t>
            </w:r>
            <w:r>
              <w:rPr>
                <w:rFonts w:cs="Times New Roman" w:hint="eastAsia"/>
                <w:sz w:val="24"/>
                <w:szCs w:val="24"/>
              </w:rPr>
              <w:t>mm，小头8</w:t>
            </w:r>
            <w:r>
              <w:rPr>
                <w:rFonts w:cs="Times New Roman"/>
                <w:sz w:val="24"/>
                <w:szCs w:val="24"/>
              </w:rPr>
              <w:t>2</w:t>
            </w:r>
            <w:r>
              <w:rPr>
                <w:rFonts w:cs="Times New Roman" w:hint="eastAsia"/>
                <w:sz w:val="24"/>
                <w:szCs w:val="24"/>
              </w:rPr>
              <w:t>mm，产品长度1</w:t>
            </w:r>
            <w:r>
              <w:rPr>
                <w:rFonts w:cs="Times New Roman"/>
                <w:sz w:val="24"/>
                <w:szCs w:val="24"/>
              </w:rPr>
              <w:t>90</w:t>
            </w:r>
            <w:r>
              <w:rPr>
                <w:rFonts w:cs="Times New Roman" w:hint="eastAsia"/>
                <w:sz w:val="24"/>
                <w:szCs w:val="24"/>
              </w:rPr>
              <w:t>mm</w:t>
            </w:r>
          </w:p>
        </w:tc>
        <w:tc>
          <w:tcPr>
            <w:tcW w:w="3224" w:type="dxa"/>
            <w:vAlign w:val="center"/>
          </w:tcPr>
          <w:p w:rsidR="00F817C4" w:rsidRPr="00FD15A5" w:rsidRDefault="00F817C4" w:rsidP="006702BE">
            <w:pPr>
              <w:spacing w:line="360" w:lineRule="auto"/>
              <w:ind w:left="0" w:firstLine="0"/>
              <w:jc w:val="center"/>
              <w:rPr>
                <w:rFonts w:cs="Times New Roman"/>
                <w:sz w:val="24"/>
                <w:szCs w:val="24"/>
              </w:rPr>
            </w:pPr>
            <w:r>
              <w:rPr>
                <w:rFonts w:cs="Times New Roman" w:hint="eastAsia"/>
                <w:sz w:val="24"/>
                <w:szCs w:val="24"/>
              </w:rPr>
              <w:t>适用于空气弹簧</w:t>
            </w:r>
            <w:r>
              <w:rPr>
                <w:rFonts w:cs="Times New Roman"/>
                <w:sz w:val="24"/>
                <w:szCs w:val="24"/>
              </w:rPr>
              <w:t>1SV</w:t>
            </w:r>
            <w:r w:rsidR="00AC367D">
              <w:rPr>
                <w:rFonts w:cs="Times New Roman"/>
                <w:sz w:val="24"/>
                <w:szCs w:val="24"/>
              </w:rPr>
              <w:t>1900</w:t>
            </w:r>
            <w:r>
              <w:rPr>
                <w:rFonts w:cs="Times New Roman" w:hint="eastAsia"/>
                <w:sz w:val="24"/>
                <w:szCs w:val="24"/>
              </w:rPr>
              <w:t>产品切边，要求：以产品实际尺寸切边长度增加1</w:t>
            </w:r>
            <w:r>
              <w:rPr>
                <w:rFonts w:cs="Times New Roman"/>
                <w:sz w:val="24"/>
                <w:szCs w:val="24"/>
              </w:rPr>
              <w:t>00</w:t>
            </w:r>
            <w:r>
              <w:rPr>
                <w:rFonts w:cs="Times New Roman" w:hint="eastAsia"/>
                <w:sz w:val="24"/>
                <w:szCs w:val="24"/>
              </w:rPr>
              <w:t>mm。</w:t>
            </w:r>
          </w:p>
        </w:tc>
      </w:tr>
      <w:tr w:rsidR="00F817C4" w:rsidRPr="00FD15A5" w:rsidTr="004271C6">
        <w:trPr>
          <w:trHeight w:val="345"/>
          <w:jc w:val="center"/>
        </w:trPr>
        <w:tc>
          <w:tcPr>
            <w:tcW w:w="888" w:type="dxa"/>
            <w:shd w:val="clear" w:color="auto" w:fill="auto"/>
            <w:vAlign w:val="center"/>
          </w:tcPr>
          <w:p w:rsidR="00F817C4" w:rsidRPr="00FD15A5" w:rsidRDefault="00F817C4" w:rsidP="00EC2ACF">
            <w:pPr>
              <w:spacing w:line="360" w:lineRule="auto"/>
              <w:jc w:val="center"/>
              <w:rPr>
                <w:rFonts w:cs="Times New Roman"/>
                <w:sz w:val="24"/>
                <w:szCs w:val="24"/>
              </w:rPr>
            </w:pPr>
            <w:r>
              <w:rPr>
                <w:rFonts w:cs="Times New Roman" w:hint="eastAsia"/>
                <w:sz w:val="24"/>
                <w:szCs w:val="24"/>
              </w:rPr>
              <w:t>2</w:t>
            </w:r>
          </w:p>
        </w:tc>
        <w:tc>
          <w:tcPr>
            <w:tcW w:w="1375" w:type="dxa"/>
            <w:shd w:val="clear" w:color="auto" w:fill="auto"/>
            <w:vAlign w:val="center"/>
          </w:tcPr>
          <w:p w:rsidR="00F817C4" w:rsidRPr="004271C6" w:rsidRDefault="00F817C4" w:rsidP="00EC2ACF">
            <w:pPr>
              <w:spacing w:line="360" w:lineRule="auto"/>
              <w:ind w:left="0" w:firstLine="0"/>
              <w:jc w:val="center"/>
              <w:rPr>
                <w:rFonts w:cs="Arial"/>
                <w:bCs/>
                <w:color w:val="000000" w:themeColor="text1"/>
                <w:sz w:val="24"/>
                <w:szCs w:val="28"/>
              </w:rPr>
            </w:pPr>
            <w:r w:rsidRPr="004271C6">
              <w:rPr>
                <w:rFonts w:cs="Arial" w:hint="eastAsia"/>
                <w:bCs/>
                <w:color w:val="000000" w:themeColor="text1"/>
                <w:sz w:val="24"/>
                <w:szCs w:val="28"/>
              </w:rPr>
              <w:t>空气弹簧切边锥鼓</w:t>
            </w:r>
          </w:p>
        </w:tc>
        <w:tc>
          <w:tcPr>
            <w:tcW w:w="1624" w:type="dxa"/>
            <w:shd w:val="clear" w:color="auto" w:fill="auto"/>
            <w:vAlign w:val="center"/>
          </w:tcPr>
          <w:p w:rsidR="00F817C4" w:rsidRDefault="00F817C4" w:rsidP="004271C6">
            <w:pPr>
              <w:spacing w:line="360" w:lineRule="auto"/>
              <w:jc w:val="center"/>
              <w:rPr>
                <w:rFonts w:cs="Times New Roman"/>
                <w:sz w:val="24"/>
                <w:szCs w:val="24"/>
              </w:rPr>
            </w:pPr>
            <w:r>
              <w:rPr>
                <w:rFonts w:cs="Times New Roman" w:hint="eastAsia"/>
                <w:sz w:val="24"/>
                <w:szCs w:val="24"/>
              </w:rPr>
              <w:t>1套</w:t>
            </w:r>
          </w:p>
        </w:tc>
        <w:tc>
          <w:tcPr>
            <w:tcW w:w="2807" w:type="dxa"/>
            <w:vAlign w:val="center"/>
          </w:tcPr>
          <w:p w:rsidR="00F817C4" w:rsidRDefault="00AC367D" w:rsidP="00F74CDD">
            <w:pPr>
              <w:spacing w:line="360" w:lineRule="auto"/>
              <w:jc w:val="center"/>
              <w:rPr>
                <w:rFonts w:cs="Times New Roman"/>
                <w:sz w:val="24"/>
                <w:szCs w:val="24"/>
              </w:rPr>
            </w:pPr>
            <w:r>
              <w:rPr>
                <w:rFonts w:cs="Times New Roman" w:hint="eastAsia"/>
                <w:sz w:val="24"/>
                <w:szCs w:val="24"/>
              </w:rPr>
              <w:t>产品参数：产品直径</w:t>
            </w:r>
            <w:r w:rsidR="006702BE">
              <w:rPr>
                <w:rFonts w:cs="Times New Roman" w:hint="eastAsia"/>
                <w:sz w:val="24"/>
                <w:szCs w:val="24"/>
              </w:rPr>
              <w:t>φ9</w:t>
            </w:r>
            <w:r w:rsidR="006702BE">
              <w:rPr>
                <w:rFonts w:cs="Times New Roman"/>
                <w:sz w:val="24"/>
                <w:szCs w:val="24"/>
              </w:rPr>
              <w:t>4</w:t>
            </w:r>
            <w:r w:rsidR="006702BE">
              <w:rPr>
                <w:rFonts w:cs="Times New Roman" w:hint="eastAsia"/>
                <w:sz w:val="24"/>
                <w:szCs w:val="24"/>
              </w:rPr>
              <w:t>mm，产品长度2</w:t>
            </w:r>
            <w:r w:rsidR="006702BE">
              <w:rPr>
                <w:rFonts w:cs="Times New Roman"/>
                <w:sz w:val="24"/>
                <w:szCs w:val="24"/>
              </w:rPr>
              <w:t>90</w:t>
            </w:r>
            <w:r w:rsidR="006702BE">
              <w:rPr>
                <w:rFonts w:cs="Times New Roman" w:hint="eastAsia"/>
                <w:sz w:val="24"/>
                <w:szCs w:val="24"/>
              </w:rPr>
              <w:t>mm</w:t>
            </w:r>
          </w:p>
        </w:tc>
        <w:tc>
          <w:tcPr>
            <w:tcW w:w="3224" w:type="dxa"/>
            <w:vAlign w:val="center"/>
          </w:tcPr>
          <w:p w:rsidR="00F817C4" w:rsidRDefault="00F817C4" w:rsidP="006702BE">
            <w:pPr>
              <w:spacing w:line="360" w:lineRule="auto"/>
              <w:ind w:left="0" w:firstLine="0"/>
              <w:jc w:val="left"/>
              <w:rPr>
                <w:rFonts w:cs="Times New Roman"/>
                <w:sz w:val="24"/>
                <w:szCs w:val="24"/>
              </w:rPr>
            </w:pPr>
            <w:r>
              <w:rPr>
                <w:rFonts w:cs="Times New Roman" w:hint="eastAsia"/>
                <w:sz w:val="24"/>
                <w:szCs w:val="24"/>
              </w:rPr>
              <w:t>适用于空气弹簧</w:t>
            </w:r>
            <w:r>
              <w:rPr>
                <w:rFonts w:cs="Times New Roman"/>
                <w:sz w:val="24"/>
                <w:szCs w:val="24"/>
              </w:rPr>
              <w:t>1</w:t>
            </w:r>
            <w:r w:rsidR="006702BE">
              <w:rPr>
                <w:rFonts w:cs="Times New Roman"/>
                <w:sz w:val="24"/>
                <w:szCs w:val="24"/>
              </w:rPr>
              <w:t>SA2900</w:t>
            </w:r>
            <w:r>
              <w:rPr>
                <w:rFonts w:cs="Times New Roman" w:hint="eastAsia"/>
                <w:sz w:val="24"/>
                <w:szCs w:val="24"/>
              </w:rPr>
              <w:t>产品切边，要求：以产品实际尺寸</w:t>
            </w:r>
            <w:r w:rsidR="007D1F90">
              <w:rPr>
                <w:rFonts w:cs="Times New Roman" w:hint="eastAsia"/>
                <w:sz w:val="24"/>
                <w:szCs w:val="24"/>
              </w:rPr>
              <w:t>切边</w:t>
            </w:r>
            <w:r>
              <w:rPr>
                <w:rFonts w:cs="Times New Roman" w:hint="eastAsia"/>
                <w:sz w:val="24"/>
                <w:szCs w:val="24"/>
              </w:rPr>
              <w:t>长度增加1</w:t>
            </w:r>
            <w:r>
              <w:rPr>
                <w:rFonts w:cs="Times New Roman"/>
                <w:sz w:val="24"/>
                <w:szCs w:val="24"/>
              </w:rPr>
              <w:t>00</w:t>
            </w:r>
            <w:r>
              <w:rPr>
                <w:rFonts w:cs="Times New Roman" w:hint="eastAsia"/>
                <w:sz w:val="24"/>
                <w:szCs w:val="24"/>
              </w:rPr>
              <w:t>mm。</w:t>
            </w: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AA5B21"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2524B4">
        <w:rPr>
          <w:rFonts w:cs="Times New Roman" w:hint="eastAsia"/>
          <w:sz w:val="24"/>
          <w:szCs w:val="20"/>
        </w:rPr>
        <w:t>设备</w:t>
      </w:r>
      <w:r>
        <w:rPr>
          <w:rFonts w:cs="Times New Roman" w:hint="eastAsia"/>
          <w:sz w:val="24"/>
          <w:szCs w:val="20"/>
        </w:rPr>
        <w:t>：</w:t>
      </w:r>
      <w:r w:rsidR="002524B4">
        <w:rPr>
          <w:rFonts w:cs="Times New Roman" w:hint="eastAsia"/>
          <w:sz w:val="24"/>
          <w:szCs w:val="20"/>
        </w:rPr>
        <w:t>空气弹簧切边机</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FE632A" w:rsidRPr="004F6F4A" w:rsidRDefault="007468E8"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产品</w:t>
      </w:r>
      <w:r w:rsidR="00AA5B21">
        <w:rPr>
          <w:rFonts w:cs="Times New Roman" w:hint="eastAsia"/>
          <w:bCs/>
          <w:sz w:val="28"/>
          <w:szCs w:val="24"/>
        </w:rPr>
        <w:t>参数</w:t>
      </w:r>
    </w:p>
    <w:p w:rsidR="007468E8" w:rsidRPr="00C4788E" w:rsidRDefault="007468E8" w:rsidP="00C4788E">
      <w:pPr>
        <w:spacing w:line="360" w:lineRule="auto"/>
        <w:ind w:leftChars="100" w:left="210" w:firstLineChars="300" w:firstLine="720"/>
        <w:jc w:val="left"/>
        <w:rPr>
          <w:rFonts w:cs="Times New Roman"/>
          <w:sz w:val="24"/>
          <w:szCs w:val="20"/>
        </w:rPr>
      </w:pPr>
      <w:r>
        <w:rPr>
          <w:rFonts w:cs="Times New Roman" w:hint="eastAsia"/>
          <w:sz w:val="24"/>
          <w:szCs w:val="20"/>
        </w:rPr>
        <w:t>产品外观参数：附图</w:t>
      </w:r>
    </w:p>
    <w:p w:rsidR="00D37183" w:rsidRDefault="002524B4"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切边鼓</w:t>
      </w:r>
      <w:r w:rsidR="007468E8">
        <w:rPr>
          <w:rFonts w:cs="Times New Roman" w:hint="eastAsia"/>
          <w:bCs/>
          <w:sz w:val="28"/>
          <w:szCs w:val="24"/>
        </w:rPr>
        <w:t>结构示意</w:t>
      </w:r>
    </w:p>
    <w:p w:rsidR="00C37C22" w:rsidRPr="00C4788E" w:rsidRDefault="00C4788E" w:rsidP="00C4788E">
      <w:pPr>
        <w:spacing w:line="360" w:lineRule="auto"/>
        <w:ind w:left="79" w:firstLineChars="400" w:firstLine="960"/>
        <w:rPr>
          <w:rFonts w:cs="Times New Roman"/>
          <w:sz w:val="24"/>
          <w:szCs w:val="20"/>
        </w:rPr>
      </w:pPr>
      <w:r>
        <w:rPr>
          <w:rFonts w:cs="Times New Roman" w:hint="eastAsia"/>
          <w:sz w:val="24"/>
          <w:szCs w:val="20"/>
        </w:rPr>
        <w:lastRenderedPageBreak/>
        <w:t>切边鼓外观参数：附图</w:t>
      </w:r>
    </w:p>
    <w:p w:rsidR="006C46AE" w:rsidRPr="004F6F4A" w:rsidRDefault="00C37C22"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切边鼓</w:t>
      </w:r>
      <w:r w:rsidR="00F0563E">
        <w:rPr>
          <w:rFonts w:cs="Times New Roman" w:hint="eastAsia"/>
          <w:bCs/>
          <w:sz w:val="28"/>
          <w:szCs w:val="24"/>
        </w:rPr>
        <w:t>质量要求</w:t>
      </w:r>
    </w:p>
    <w:p w:rsidR="006C46AE" w:rsidRPr="00FD15A5" w:rsidRDefault="00C37C22" w:rsidP="004F6F4A">
      <w:pPr>
        <w:numPr>
          <w:ilvl w:val="0"/>
          <w:numId w:val="28"/>
        </w:numPr>
        <w:spacing w:line="360" w:lineRule="auto"/>
        <w:jc w:val="left"/>
        <w:rPr>
          <w:rFonts w:cs="Times New Roman"/>
          <w:sz w:val="24"/>
          <w:szCs w:val="20"/>
        </w:rPr>
      </w:pPr>
      <w:r>
        <w:rPr>
          <w:rFonts w:cs="Times New Roman" w:hint="eastAsia"/>
          <w:sz w:val="24"/>
          <w:szCs w:val="20"/>
        </w:rPr>
        <w:t>切边鼓</w:t>
      </w:r>
      <w:r w:rsidR="00BA4CC2">
        <w:rPr>
          <w:rFonts w:cs="Times New Roman" w:hint="eastAsia"/>
          <w:sz w:val="24"/>
          <w:szCs w:val="20"/>
        </w:rPr>
        <w:t>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A27B99" w:rsidP="00DA5FC3">
      <w:pPr>
        <w:numPr>
          <w:ilvl w:val="0"/>
          <w:numId w:val="28"/>
        </w:numPr>
        <w:spacing w:line="360" w:lineRule="auto"/>
        <w:jc w:val="left"/>
        <w:rPr>
          <w:rFonts w:cs="Times New Roman"/>
          <w:sz w:val="24"/>
          <w:szCs w:val="20"/>
        </w:rPr>
      </w:pPr>
      <w:r>
        <w:rPr>
          <w:rFonts w:cs="Times New Roman" w:hint="eastAsia"/>
          <w:sz w:val="24"/>
          <w:szCs w:val="20"/>
        </w:rPr>
        <w:t>切边鼓通过连接轴和法兰安装在切边机上，用于对应规格的锥形空气弹簧囊皮切边。</w:t>
      </w:r>
    </w:p>
    <w:p w:rsidR="00A27B99" w:rsidRDefault="00A27B99" w:rsidP="00DA5FC3">
      <w:pPr>
        <w:numPr>
          <w:ilvl w:val="0"/>
          <w:numId w:val="28"/>
        </w:numPr>
        <w:spacing w:line="360" w:lineRule="auto"/>
        <w:jc w:val="left"/>
        <w:rPr>
          <w:rFonts w:cs="Times New Roman"/>
          <w:sz w:val="24"/>
          <w:szCs w:val="20"/>
        </w:rPr>
      </w:pPr>
      <w:r>
        <w:rPr>
          <w:rFonts w:cs="Times New Roman" w:hint="eastAsia"/>
          <w:sz w:val="24"/>
          <w:szCs w:val="20"/>
        </w:rPr>
        <w:t>空气弹簧锥形切边鼓采用滑动式结构，主要结构包括机体、铜滑座、锥形外梁板组成，在气动驱动下完成涨缩，外梁板两端设有可更换的切割护套，防护外梁板并减小间隙。</w:t>
      </w:r>
    </w:p>
    <w:p w:rsidR="00D912D9" w:rsidRDefault="00C37C22" w:rsidP="00EF2D2C">
      <w:pPr>
        <w:numPr>
          <w:ilvl w:val="0"/>
          <w:numId w:val="28"/>
        </w:numPr>
        <w:spacing w:line="360" w:lineRule="auto"/>
        <w:jc w:val="left"/>
        <w:rPr>
          <w:sz w:val="24"/>
        </w:rPr>
      </w:pPr>
      <w:r>
        <w:rPr>
          <w:rFonts w:hint="eastAsia"/>
          <w:sz w:val="24"/>
        </w:rPr>
        <w:t>切边鼓</w:t>
      </w:r>
      <w:r w:rsidR="00D912D9">
        <w:rPr>
          <w:rFonts w:hint="eastAsia"/>
          <w:sz w:val="24"/>
        </w:rPr>
        <w:t>在试用过程中出现质量问题，能够迅速采取有效措施，在短时间内彻底解决问题，并且要求后续加工的模具不得出现同样问题。</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C37C22" w:rsidP="0078211A">
      <w:pPr>
        <w:numPr>
          <w:ilvl w:val="0"/>
          <w:numId w:val="32"/>
        </w:numPr>
        <w:spacing w:line="360" w:lineRule="auto"/>
        <w:jc w:val="left"/>
        <w:rPr>
          <w:rFonts w:cs="Times New Roman"/>
          <w:sz w:val="24"/>
          <w:szCs w:val="20"/>
        </w:rPr>
      </w:pPr>
      <w:r>
        <w:rPr>
          <w:rFonts w:cs="Times New Roman" w:hint="eastAsia"/>
          <w:sz w:val="24"/>
          <w:szCs w:val="20"/>
        </w:rPr>
        <w:t>切边鼓</w:t>
      </w:r>
      <w:r w:rsidR="0032677B">
        <w:rPr>
          <w:rFonts w:cs="Times New Roman" w:hint="eastAsia"/>
          <w:sz w:val="24"/>
          <w:szCs w:val="20"/>
        </w:rPr>
        <w:t>外形图及公用工程接口尺寸</w:t>
      </w:r>
      <w:r w:rsidR="0078211A" w:rsidRPr="007258C7">
        <w:rPr>
          <w:rFonts w:cs="Times New Roman" w:hint="eastAsia"/>
          <w:sz w:val="24"/>
          <w:szCs w:val="20"/>
        </w:rPr>
        <w:t>,在合同生效后</w:t>
      </w:r>
      <w:r w:rsidR="0032677B">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C37C22" w:rsidP="002E2E6C">
      <w:pPr>
        <w:numPr>
          <w:ilvl w:val="0"/>
          <w:numId w:val="32"/>
        </w:numPr>
        <w:spacing w:line="360" w:lineRule="auto"/>
        <w:jc w:val="left"/>
        <w:rPr>
          <w:rFonts w:cs="Times New Roman"/>
          <w:sz w:val="24"/>
          <w:szCs w:val="20"/>
        </w:rPr>
      </w:pPr>
      <w:r>
        <w:rPr>
          <w:rFonts w:cs="Times New Roman" w:hint="eastAsia"/>
          <w:sz w:val="24"/>
          <w:szCs w:val="20"/>
        </w:rPr>
        <w:t>切边鼓</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C37C22">
        <w:rPr>
          <w:rFonts w:cs="Times New Roman" w:hint="eastAsia"/>
          <w:sz w:val="24"/>
          <w:szCs w:val="20"/>
        </w:rPr>
        <w:t>切边鼓</w:t>
      </w:r>
      <w:r w:rsidRPr="007258C7">
        <w:rPr>
          <w:rFonts w:cs="Times New Roman" w:hint="eastAsia"/>
          <w:sz w:val="24"/>
          <w:szCs w:val="20"/>
        </w:rPr>
        <w:t>安装结束后，甲方根据技术协议要求或者公司内控标准，对</w:t>
      </w:r>
      <w:r w:rsidR="00C37C22">
        <w:rPr>
          <w:rFonts w:cs="Times New Roman" w:hint="eastAsia"/>
          <w:sz w:val="24"/>
          <w:szCs w:val="20"/>
        </w:rPr>
        <w:t>切边鼓</w:t>
      </w:r>
      <w:r w:rsidR="0015659D">
        <w:rPr>
          <w:rFonts w:cs="Times New Roman" w:hint="eastAsia"/>
          <w:sz w:val="24"/>
          <w:szCs w:val="20"/>
        </w:rPr>
        <w:t>精度</w:t>
      </w:r>
      <w:r w:rsidRPr="007258C7">
        <w:rPr>
          <w:rFonts w:cs="Times New Roman" w:hint="eastAsia"/>
          <w:sz w:val="24"/>
          <w:szCs w:val="20"/>
        </w:rPr>
        <w:t>以及工装连接位置尺寸等内容进行确认。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C37C22" w:rsidP="00C1323E">
      <w:pPr>
        <w:spacing w:line="360" w:lineRule="auto"/>
        <w:ind w:leftChars="100" w:left="210" w:firstLineChars="200" w:firstLine="480"/>
        <w:jc w:val="left"/>
        <w:rPr>
          <w:rFonts w:cs="Times New Roman"/>
          <w:sz w:val="24"/>
          <w:szCs w:val="20"/>
        </w:rPr>
      </w:pPr>
      <w:r>
        <w:rPr>
          <w:rFonts w:cs="Times New Roman" w:hint="eastAsia"/>
          <w:sz w:val="24"/>
          <w:szCs w:val="20"/>
        </w:rPr>
        <w:t>切边鼓</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lastRenderedPageBreak/>
        <w:t>性能满足买方空气弹簧</w:t>
      </w:r>
      <w:r w:rsidR="00C37C22">
        <w:rPr>
          <w:rFonts w:cs="Times New Roman" w:hint="eastAsia"/>
          <w:sz w:val="24"/>
          <w:szCs w:val="20"/>
        </w:rPr>
        <w:t>切边</w:t>
      </w:r>
      <w:r>
        <w:rPr>
          <w:rFonts w:cs="Times New Roman" w:hint="eastAsia"/>
          <w:sz w:val="24"/>
          <w:szCs w:val="20"/>
        </w:rPr>
        <w:t>要求，尺寸符合产品设计要求，经模具硫化后产品满足设计要求，进行验收。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w:t>
      </w:r>
      <w:r w:rsidR="00C37C22">
        <w:rPr>
          <w:rFonts w:cs="Times New Roman" w:hint="eastAsia"/>
          <w:sz w:val="24"/>
          <w:szCs w:val="20"/>
        </w:rPr>
        <w:t>切边鼓</w:t>
      </w:r>
      <w:r w:rsidRPr="007258C7">
        <w:rPr>
          <w:rFonts w:cs="Times New Roman" w:hint="eastAsia"/>
          <w:sz w:val="24"/>
          <w:szCs w:val="20"/>
        </w:rPr>
        <w:t>经甲方验收合格之次日起计；若质保期内，</w:t>
      </w:r>
      <w:r w:rsidR="00C37C22">
        <w:rPr>
          <w:rFonts w:cs="Times New Roman" w:hint="eastAsia"/>
          <w:sz w:val="24"/>
          <w:szCs w:val="20"/>
        </w:rPr>
        <w:t>切边鼓</w:t>
      </w:r>
      <w:r w:rsidRPr="007258C7">
        <w:rPr>
          <w:rFonts w:cs="Times New Roman" w:hint="eastAsia"/>
          <w:sz w:val="24"/>
          <w:szCs w:val="20"/>
        </w:rPr>
        <w:t>发生过更换的情况，则</w:t>
      </w:r>
      <w:r w:rsidR="00C37C22">
        <w:rPr>
          <w:rFonts w:cs="Times New Roman" w:hint="eastAsia"/>
          <w:sz w:val="24"/>
          <w:szCs w:val="20"/>
        </w:rPr>
        <w:t>切边鼓</w:t>
      </w:r>
      <w:r w:rsidRPr="007258C7">
        <w:rPr>
          <w:rFonts w:cs="Times New Roman" w:hint="eastAsia"/>
          <w:sz w:val="24"/>
          <w:szCs w:val="20"/>
        </w:rPr>
        <w:t>的质保期自更换之次日起重新计算，若质保期内，</w:t>
      </w:r>
      <w:r w:rsidR="00C37C22">
        <w:rPr>
          <w:rFonts w:cs="Times New Roman" w:hint="eastAsia"/>
          <w:sz w:val="24"/>
          <w:szCs w:val="20"/>
        </w:rPr>
        <w:t>切边鼓</w:t>
      </w:r>
      <w:r w:rsidRPr="007258C7">
        <w:rPr>
          <w:rFonts w:cs="Times New Roman" w:hint="eastAsia"/>
          <w:sz w:val="24"/>
          <w:szCs w:val="20"/>
        </w:rPr>
        <w:t>进行过修理，则</w:t>
      </w:r>
      <w:r w:rsidR="00C37C22">
        <w:rPr>
          <w:rFonts w:cs="Times New Roman" w:hint="eastAsia"/>
          <w:sz w:val="24"/>
          <w:szCs w:val="20"/>
        </w:rPr>
        <w:t>切边鼓</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C37C22" w:rsidP="007258C7">
      <w:pPr>
        <w:numPr>
          <w:ilvl w:val="0"/>
          <w:numId w:val="34"/>
        </w:numPr>
        <w:spacing w:line="360" w:lineRule="auto"/>
        <w:jc w:val="left"/>
        <w:rPr>
          <w:rFonts w:cs="Times New Roman"/>
          <w:sz w:val="24"/>
          <w:szCs w:val="20"/>
        </w:rPr>
      </w:pPr>
      <w:r>
        <w:rPr>
          <w:rFonts w:cs="Times New Roman" w:hint="eastAsia"/>
          <w:sz w:val="24"/>
          <w:szCs w:val="20"/>
        </w:rPr>
        <w:t>切边鼓</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w:t>
      </w:r>
      <w:r w:rsidR="00C37C22">
        <w:rPr>
          <w:rFonts w:cs="Times New Roman" w:hint="eastAsia"/>
          <w:sz w:val="24"/>
          <w:szCs w:val="20"/>
        </w:rPr>
        <w:t>切边鼓</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w:t>
      </w:r>
      <w:r w:rsidR="00C4788E">
        <w:rPr>
          <w:rFonts w:cs="Times New Roman" w:hint="eastAsia"/>
          <w:sz w:val="24"/>
          <w:szCs w:val="24"/>
        </w:rPr>
        <w:t>切边鼓</w:t>
      </w:r>
      <w:r w:rsidRPr="00AC3669">
        <w:rPr>
          <w:rFonts w:cs="Times New Roman" w:hint="eastAsia"/>
          <w:sz w:val="24"/>
          <w:szCs w:val="24"/>
        </w:rPr>
        <w:t>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w:t>
      </w:r>
      <w:r w:rsidR="004006BA">
        <w:rPr>
          <w:rFonts w:cs="Times New Roman" w:hint="eastAsia"/>
          <w:sz w:val="24"/>
          <w:szCs w:val="24"/>
        </w:rPr>
        <w:t>模具</w:t>
      </w:r>
      <w:r w:rsidRPr="00AC3669">
        <w:rPr>
          <w:rFonts w:cs="Times New Roman" w:hint="eastAsia"/>
          <w:sz w:val="24"/>
          <w:szCs w:val="24"/>
        </w:rPr>
        <w:t>。</w:t>
      </w:r>
    </w:p>
    <w:p w:rsidR="00BC22FD"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p w:rsidR="00F817C4" w:rsidRDefault="00F817C4" w:rsidP="00F817C4">
      <w:pPr>
        <w:pStyle w:val="a3"/>
        <w:widowControl w:val="0"/>
        <w:numPr>
          <w:ilvl w:val="0"/>
          <w:numId w:val="6"/>
        </w:numPr>
        <w:ind w:left="420" w:firstLineChars="0" w:hanging="420"/>
        <w:rPr>
          <w:rFonts w:cs="Arial"/>
          <w:bCs/>
          <w:sz w:val="28"/>
          <w:szCs w:val="28"/>
        </w:rPr>
      </w:pPr>
      <w:r w:rsidRPr="00F817C4">
        <w:rPr>
          <w:rFonts w:cs="Arial" w:hint="eastAsia"/>
          <w:bCs/>
          <w:sz w:val="28"/>
          <w:szCs w:val="28"/>
        </w:rPr>
        <w:t>切边机接口尺寸</w:t>
      </w:r>
      <w:r>
        <w:rPr>
          <w:rFonts w:cs="Arial" w:hint="eastAsia"/>
          <w:bCs/>
          <w:sz w:val="28"/>
          <w:szCs w:val="28"/>
        </w:rPr>
        <w:t>：</w:t>
      </w:r>
    </w:p>
    <w:p w:rsidR="00F817C4" w:rsidRDefault="00F817C4" w:rsidP="00F817C4">
      <w:pPr>
        <w:widowControl w:val="0"/>
        <w:ind w:left="0" w:firstLine="0"/>
        <w:rPr>
          <w:rFonts w:cs="Arial"/>
          <w:bCs/>
          <w:sz w:val="28"/>
          <w:szCs w:val="28"/>
        </w:rPr>
      </w:pPr>
      <w:r w:rsidRPr="00F817C4">
        <w:rPr>
          <w:rFonts w:cs="Arial"/>
          <w:bCs/>
          <w:noProof/>
          <w:sz w:val="28"/>
          <w:szCs w:val="28"/>
        </w:rPr>
        <w:lastRenderedPageBreak/>
        <w:drawing>
          <wp:inline distT="0" distB="0" distL="0" distR="0">
            <wp:extent cx="5274310" cy="2213254"/>
            <wp:effectExtent l="0" t="0" r="2540" b="0"/>
            <wp:docPr id="3" name="图片 3" descr="D:\jbzhao\Documents\WeChat Files\wxid_9469454695112\FileStorage\Temp\5acb037f5c6ba6dfc7a77a56bdc6e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5acb037f5c6ba6dfc7a77a56bdc6e1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213254"/>
                    </a:xfrm>
                    <a:prstGeom prst="rect">
                      <a:avLst/>
                    </a:prstGeom>
                    <a:noFill/>
                    <a:ln>
                      <a:noFill/>
                    </a:ln>
                  </pic:spPr>
                </pic:pic>
              </a:graphicData>
            </a:graphic>
          </wp:inline>
        </w:drawing>
      </w:r>
    </w:p>
    <w:p w:rsidR="00F817C4" w:rsidRDefault="00F817C4" w:rsidP="00F817C4">
      <w:pPr>
        <w:widowControl w:val="0"/>
        <w:ind w:left="0" w:firstLine="0"/>
        <w:rPr>
          <w:rFonts w:cs="Arial"/>
          <w:bCs/>
          <w:sz w:val="28"/>
          <w:szCs w:val="28"/>
        </w:rPr>
      </w:pPr>
      <w:r>
        <w:rPr>
          <w:rFonts w:cs="Arial" w:hint="eastAsia"/>
          <w:bCs/>
          <w:sz w:val="28"/>
          <w:szCs w:val="28"/>
        </w:rPr>
        <w:t>十、其他：</w:t>
      </w:r>
    </w:p>
    <w:p w:rsidR="00F817C4" w:rsidRPr="00F817C4" w:rsidRDefault="00F817C4" w:rsidP="00F817C4">
      <w:pPr>
        <w:widowControl w:val="0"/>
        <w:spacing w:line="360" w:lineRule="auto"/>
        <w:ind w:left="0" w:firstLine="0"/>
        <w:rPr>
          <w:rFonts w:cs="Arial"/>
          <w:bCs/>
          <w:sz w:val="24"/>
          <w:szCs w:val="28"/>
        </w:rPr>
      </w:pPr>
      <w:r w:rsidRPr="00F817C4">
        <w:rPr>
          <w:rFonts w:cs="Arial"/>
          <w:bCs/>
          <w:sz w:val="24"/>
          <w:szCs w:val="28"/>
        </w:rPr>
        <w:t>1.</w:t>
      </w:r>
      <w:r w:rsidRPr="00F817C4">
        <w:rPr>
          <w:rFonts w:cs="Arial"/>
          <w:bCs/>
          <w:sz w:val="24"/>
          <w:szCs w:val="28"/>
        </w:rPr>
        <w:tab/>
        <w:t>技术协议内所涉方案、配置均为满足买方生产、使用的基本要求，如果协议相关方案、配置不能满足买方生产、使用要求，卖方应无偿进行整改。</w:t>
      </w:r>
    </w:p>
    <w:p w:rsidR="00F817C4" w:rsidRPr="00F817C4" w:rsidRDefault="00F817C4" w:rsidP="00F817C4">
      <w:pPr>
        <w:widowControl w:val="0"/>
        <w:spacing w:line="360" w:lineRule="auto"/>
        <w:ind w:left="0" w:firstLine="0"/>
        <w:rPr>
          <w:rFonts w:cs="Arial"/>
          <w:bCs/>
          <w:sz w:val="24"/>
          <w:szCs w:val="28"/>
        </w:rPr>
      </w:pPr>
      <w:r w:rsidRPr="00F817C4">
        <w:rPr>
          <w:rFonts w:cs="Arial"/>
          <w:bCs/>
          <w:sz w:val="24"/>
          <w:szCs w:val="28"/>
        </w:rPr>
        <w:t>2.</w:t>
      </w:r>
      <w:r w:rsidRPr="00F817C4">
        <w:rPr>
          <w:rFonts w:cs="Arial"/>
          <w:bCs/>
          <w:sz w:val="24"/>
          <w:szCs w:val="28"/>
        </w:rPr>
        <w:tab/>
        <w:t>在签订合同后，若买方生产、使用要求有所变化，买方保留对本协议书提出补充要求和修改的权利，卖方应允诺予以配合。如提出修改，具体项目和条件由买卖双方商定。</w:t>
      </w:r>
    </w:p>
    <w:p w:rsidR="00F817C4" w:rsidRDefault="00F817C4" w:rsidP="00F817C4">
      <w:pPr>
        <w:widowControl w:val="0"/>
        <w:spacing w:line="360" w:lineRule="auto"/>
        <w:ind w:left="0" w:firstLine="0"/>
        <w:rPr>
          <w:rFonts w:cs="Arial"/>
          <w:bCs/>
          <w:sz w:val="24"/>
          <w:szCs w:val="28"/>
        </w:rPr>
      </w:pPr>
      <w:r w:rsidRPr="00F817C4">
        <w:rPr>
          <w:rFonts w:cs="Arial"/>
          <w:bCs/>
          <w:sz w:val="24"/>
          <w:szCs w:val="28"/>
        </w:rPr>
        <w:t>3.</w:t>
      </w:r>
      <w:r w:rsidRPr="00F817C4">
        <w:rPr>
          <w:rFonts w:cs="Arial"/>
          <w:bCs/>
          <w:sz w:val="24"/>
          <w:szCs w:val="28"/>
        </w:rPr>
        <w:tab/>
        <w:t>协议书提出的是最低限度的技术要求，并未对一切技术细节做出规定，也未充分引述有关标准和规范条文，卖方应保证提供符合本协议书和有关最新工业标准的成熟优质产品。</w:t>
      </w:r>
    </w:p>
    <w:p w:rsidR="00C4788E" w:rsidRDefault="00C4788E" w:rsidP="00F817C4">
      <w:pPr>
        <w:widowControl w:val="0"/>
        <w:spacing w:line="360" w:lineRule="auto"/>
        <w:ind w:left="0" w:firstLine="0"/>
        <w:rPr>
          <w:rFonts w:cs="Arial"/>
          <w:bCs/>
          <w:sz w:val="24"/>
          <w:szCs w:val="28"/>
        </w:rPr>
      </w:pPr>
    </w:p>
    <w:p w:rsidR="007D1F90" w:rsidRDefault="007D1F90" w:rsidP="00F817C4">
      <w:pPr>
        <w:widowControl w:val="0"/>
        <w:spacing w:line="360" w:lineRule="auto"/>
        <w:ind w:left="0" w:firstLine="0"/>
        <w:rPr>
          <w:rFonts w:cs="Arial"/>
          <w:bCs/>
          <w:sz w:val="24"/>
          <w:szCs w:val="28"/>
        </w:rPr>
      </w:pPr>
    </w:p>
    <w:p w:rsidR="007D1F90" w:rsidRDefault="007D1F90"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6702BE" w:rsidRDefault="006702BE" w:rsidP="00F817C4">
      <w:pPr>
        <w:widowControl w:val="0"/>
        <w:spacing w:line="360" w:lineRule="auto"/>
        <w:ind w:left="0" w:firstLine="0"/>
        <w:rPr>
          <w:rFonts w:cs="Arial"/>
          <w:bCs/>
          <w:sz w:val="24"/>
          <w:szCs w:val="28"/>
        </w:rPr>
      </w:pPr>
    </w:p>
    <w:p w:rsidR="00C4788E" w:rsidRDefault="00C4788E" w:rsidP="00F817C4">
      <w:pPr>
        <w:widowControl w:val="0"/>
        <w:spacing w:line="360" w:lineRule="auto"/>
        <w:ind w:left="0" w:firstLine="0"/>
        <w:rPr>
          <w:rFonts w:cs="Arial"/>
          <w:bCs/>
          <w:sz w:val="24"/>
          <w:szCs w:val="28"/>
        </w:rPr>
      </w:pPr>
      <w:r>
        <w:rPr>
          <w:rFonts w:cs="Arial" w:hint="eastAsia"/>
          <w:bCs/>
          <w:sz w:val="24"/>
          <w:szCs w:val="28"/>
        </w:rPr>
        <w:lastRenderedPageBreak/>
        <w:t>附</w:t>
      </w:r>
      <w:r w:rsidR="00084808">
        <w:rPr>
          <w:rFonts w:cs="Arial" w:hint="eastAsia"/>
          <w:bCs/>
          <w:sz w:val="24"/>
          <w:szCs w:val="28"/>
        </w:rPr>
        <w:t>产品</w:t>
      </w:r>
      <w:r>
        <w:rPr>
          <w:rFonts w:cs="Arial" w:hint="eastAsia"/>
          <w:bCs/>
          <w:sz w:val="24"/>
          <w:szCs w:val="28"/>
        </w:rPr>
        <w:t>图：</w:t>
      </w:r>
    </w:p>
    <w:p w:rsidR="00C4788E" w:rsidRDefault="006702BE" w:rsidP="00325AA1">
      <w:pPr>
        <w:widowControl w:val="0"/>
        <w:spacing w:line="360" w:lineRule="auto"/>
        <w:ind w:left="0" w:firstLine="0"/>
        <w:jc w:val="center"/>
        <w:rPr>
          <w:rFonts w:cs="Arial"/>
          <w:bCs/>
          <w:sz w:val="24"/>
          <w:szCs w:val="28"/>
        </w:rPr>
      </w:pPr>
      <w:r w:rsidRPr="000F1DC9">
        <w:rPr>
          <w:rFonts w:ascii="Times New Roman" w:hAnsi="Times New Roman" w:cs="Times New Roman"/>
          <w:b/>
          <w:bCs/>
          <w:noProof/>
          <w:sz w:val="27"/>
          <w:szCs w:val="27"/>
        </w:rPr>
        <w:drawing>
          <wp:inline distT="0" distB="0" distL="0" distR="0" wp14:anchorId="42703FF4" wp14:editId="67525977">
            <wp:extent cx="4631376" cy="4150340"/>
            <wp:effectExtent l="0" t="0" r="0" b="0"/>
            <wp:docPr id="4" name="图片 4" descr="C:\Users\lqin\AppData\Local\Temp\17319941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qin\AppData\Local\Temp\173199419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695" cy="4182887"/>
                    </a:xfrm>
                    <a:prstGeom prst="rect">
                      <a:avLst/>
                    </a:prstGeom>
                    <a:noFill/>
                    <a:ln>
                      <a:noFill/>
                    </a:ln>
                  </pic:spPr>
                </pic:pic>
              </a:graphicData>
            </a:graphic>
          </wp:inline>
        </w:drawing>
      </w:r>
    </w:p>
    <w:sectPr w:rsidR="00C4788E" w:rsidSect="00F817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C6" w:rsidRDefault="00F85EC6" w:rsidP="006731AF">
      <w:r>
        <w:separator/>
      </w:r>
    </w:p>
  </w:endnote>
  <w:endnote w:type="continuationSeparator" w:id="0">
    <w:p w:rsidR="00F85EC6" w:rsidRDefault="00F85EC6"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C6" w:rsidRDefault="00F85EC6" w:rsidP="006731AF">
      <w:r>
        <w:separator/>
      </w:r>
    </w:p>
  </w:footnote>
  <w:footnote w:type="continuationSeparator" w:id="0">
    <w:p w:rsidR="00F85EC6" w:rsidRDefault="00F85EC6"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394D"/>
    <w:rsid w:val="000359AE"/>
    <w:rsid w:val="0005290D"/>
    <w:rsid w:val="0006312F"/>
    <w:rsid w:val="000836BD"/>
    <w:rsid w:val="00084808"/>
    <w:rsid w:val="000A3425"/>
    <w:rsid w:val="000A3E88"/>
    <w:rsid w:val="000B37DB"/>
    <w:rsid w:val="000F5BD3"/>
    <w:rsid w:val="00111A86"/>
    <w:rsid w:val="001131A6"/>
    <w:rsid w:val="00142005"/>
    <w:rsid w:val="001533D5"/>
    <w:rsid w:val="00154760"/>
    <w:rsid w:val="0015659D"/>
    <w:rsid w:val="00162515"/>
    <w:rsid w:val="001642F9"/>
    <w:rsid w:val="00166E94"/>
    <w:rsid w:val="00172D10"/>
    <w:rsid w:val="00193C0E"/>
    <w:rsid w:val="001948EE"/>
    <w:rsid w:val="001A42F5"/>
    <w:rsid w:val="001B622F"/>
    <w:rsid w:val="001D2CAA"/>
    <w:rsid w:val="001D56AD"/>
    <w:rsid w:val="002268B1"/>
    <w:rsid w:val="002524B4"/>
    <w:rsid w:val="00274112"/>
    <w:rsid w:val="002930A5"/>
    <w:rsid w:val="00297C34"/>
    <w:rsid w:val="002C3411"/>
    <w:rsid w:val="002E2E6C"/>
    <w:rsid w:val="002F452B"/>
    <w:rsid w:val="003076DB"/>
    <w:rsid w:val="003218DE"/>
    <w:rsid w:val="00322B05"/>
    <w:rsid w:val="00325AA1"/>
    <w:rsid w:val="0032677B"/>
    <w:rsid w:val="00354ADD"/>
    <w:rsid w:val="0037143D"/>
    <w:rsid w:val="00374B0F"/>
    <w:rsid w:val="00385EB2"/>
    <w:rsid w:val="003A49F0"/>
    <w:rsid w:val="003B5973"/>
    <w:rsid w:val="003C4CB2"/>
    <w:rsid w:val="003F2411"/>
    <w:rsid w:val="004006BA"/>
    <w:rsid w:val="00406E83"/>
    <w:rsid w:val="004271C6"/>
    <w:rsid w:val="004306D2"/>
    <w:rsid w:val="004370EA"/>
    <w:rsid w:val="0044421D"/>
    <w:rsid w:val="00444454"/>
    <w:rsid w:val="00444840"/>
    <w:rsid w:val="0047075E"/>
    <w:rsid w:val="0048799A"/>
    <w:rsid w:val="004A03AC"/>
    <w:rsid w:val="004A6984"/>
    <w:rsid w:val="004D6FC5"/>
    <w:rsid w:val="004E6B45"/>
    <w:rsid w:val="004E77B6"/>
    <w:rsid w:val="004F6F4A"/>
    <w:rsid w:val="00507E0D"/>
    <w:rsid w:val="00510C7F"/>
    <w:rsid w:val="005623AD"/>
    <w:rsid w:val="00574AF0"/>
    <w:rsid w:val="005844FF"/>
    <w:rsid w:val="005E4633"/>
    <w:rsid w:val="005E5ADD"/>
    <w:rsid w:val="005F0ABA"/>
    <w:rsid w:val="00602348"/>
    <w:rsid w:val="00603836"/>
    <w:rsid w:val="006172EF"/>
    <w:rsid w:val="006211BB"/>
    <w:rsid w:val="0062631A"/>
    <w:rsid w:val="00633118"/>
    <w:rsid w:val="00662152"/>
    <w:rsid w:val="006702BE"/>
    <w:rsid w:val="006731AF"/>
    <w:rsid w:val="006815B7"/>
    <w:rsid w:val="006B4EDB"/>
    <w:rsid w:val="006C1621"/>
    <w:rsid w:val="006C46AE"/>
    <w:rsid w:val="006C694A"/>
    <w:rsid w:val="006C7C3D"/>
    <w:rsid w:val="006F25E6"/>
    <w:rsid w:val="006F7251"/>
    <w:rsid w:val="00707ABF"/>
    <w:rsid w:val="00723277"/>
    <w:rsid w:val="007258C7"/>
    <w:rsid w:val="00732E91"/>
    <w:rsid w:val="007468E8"/>
    <w:rsid w:val="00746905"/>
    <w:rsid w:val="0078211A"/>
    <w:rsid w:val="007B4F99"/>
    <w:rsid w:val="007C2615"/>
    <w:rsid w:val="007C2772"/>
    <w:rsid w:val="007C47A0"/>
    <w:rsid w:val="007C5480"/>
    <w:rsid w:val="007D1F90"/>
    <w:rsid w:val="007E1DED"/>
    <w:rsid w:val="008060A1"/>
    <w:rsid w:val="00820266"/>
    <w:rsid w:val="00824ACF"/>
    <w:rsid w:val="00883B1B"/>
    <w:rsid w:val="008B0B38"/>
    <w:rsid w:val="008E2747"/>
    <w:rsid w:val="008F1251"/>
    <w:rsid w:val="008F2FBA"/>
    <w:rsid w:val="00926829"/>
    <w:rsid w:val="00931B86"/>
    <w:rsid w:val="00945388"/>
    <w:rsid w:val="009904BB"/>
    <w:rsid w:val="009B4BB1"/>
    <w:rsid w:val="009D169B"/>
    <w:rsid w:val="009D6ECA"/>
    <w:rsid w:val="009F098D"/>
    <w:rsid w:val="009F0B6B"/>
    <w:rsid w:val="00A02285"/>
    <w:rsid w:val="00A051BC"/>
    <w:rsid w:val="00A1408F"/>
    <w:rsid w:val="00A1576A"/>
    <w:rsid w:val="00A225C4"/>
    <w:rsid w:val="00A263A6"/>
    <w:rsid w:val="00A27B99"/>
    <w:rsid w:val="00A3762F"/>
    <w:rsid w:val="00A55C6C"/>
    <w:rsid w:val="00A642F1"/>
    <w:rsid w:val="00A87B5E"/>
    <w:rsid w:val="00AA4B7A"/>
    <w:rsid w:val="00AA5B21"/>
    <w:rsid w:val="00AB333F"/>
    <w:rsid w:val="00AC3669"/>
    <w:rsid w:val="00AC367D"/>
    <w:rsid w:val="00AC40B0"/>
    <w:rsid w:val="00AD50BB"/>
    <w:rsid w:val="00AD7FFB"/>
    <w:rsid w:val="00B02C87"/>
    <w:rsid w:val="00B0535C"/>
    <w:rsid w:val="00B1672E"/>
    <w:rsid w:val="00B17212"/>
    <w:rsid w:val="00B414BB"/>
    <w:rsid w:val="00B466D1"/>
    <w:rsid w:val="00B578E7"/>
    <w:rsid w:val="00B604B6"/>
    <w:rsid w:val="00BA4CC2"/>
    <w:rsid w:val="00BB65A7"/>
    <w:rsid w:val="00BC22FD"/>
    <w:rsid w:val="00BD27A1"/>
    <w:rsid w:val="00BD5294"/>
    <w:rsid w:val="00C01BA7"/>
    <w:rsid w:val="00C02016"/>
    <w:rsid w:val="00C1323E"/>
    <w:rsid w:val="00C3243D"/>
    <w:rsid w:val="00C36F8F"/>
    <w:rsid w:val="00C37C22"/>
    <w:rsid w:val="00C4788E"/>
    <w:rsid w:val="00C54502"/>
    <w:rsid w:val="00C61825"/>
    <w:rsid w:val="00C705F4"/>
    <w:rsid w:val="00CE1EE7"/>
    <w:rsid w:val="00CF72F7"/>
    <w:rsid w:val="00D06BC8"/>
    <w:rsid w:val="00D32BCE"/>
    <w:rsid w:val="00D34C51"/>
    <w:rsid w:val="00D37183"/>
    <w:rsid w:val="00D37547"/>
    <w:rsid w:val="00D5517C"/>
    <w:rsid w:val="00D912D9"/>
    <w:rsid w:val="00DA5FC3"/>
    <w:rsid w:val="00DD0946"/>
    <w:rsid w:val="00DD6E18"/>
    <w:rsid w:val="00DD71FE"/>
    <w:rsid w:val="00DE7BF3"/>
    <w:rsid w:val="00E108C3"/>
    <w:rsid w:val="00E507B5"/>
    <w:rsid w:val="00E512E3"/>
    <w:rsid w:val="00E568FF"/>
    <w:rsid w:val="00E85075"/>
    <w:rsid w:val="00E9141A"/>
    <w:rsid w:val="00EC0212"/>
    <w:rsid w:val="00EC0C8E"/>
    <w:rsid w:val="00EC1B57"/>
    <w:rsid w:val="00EC2ACF"/>
    <w:rsid w:val="00EF20C0"/>
    <w:rsid w:val="00EF2D2C"/>
    <w:rsid w:val="00F0563E"/>
    <w:rsid w:val="00F05DFB"/>
    <w:rsid w:val="00F35339"/>
    <w:rsid w:val="00F4446F"/>
    <w:rsid w:val="00F60B3D"/>
    <w:rsid w:val="00F74CDD"/>
    <w:rsid w:val="00F817C4"/>
    <w:rsid w:val="00F85EC6"/>
    <w:rsid w:val="00F96295"/>
    <w:rsid w:val="00FB5B6F"/>
    <w:rsid w:val="00FB68FA"/>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9258-9B39-43F2-B70E-2E458DEB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8</cp:revision>
  <dcterms:created xsi:type="dcterms:W3CDTF">2024-11-21T05:08:00Z</dcterms:created>
  <dcterms:modified xsi:type="dcterms:W3CDTF">2024-11-28T05:29:00Z</dcterms:modified>
</cp:coreProperties>
</file>