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247BC0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半钢硫化机后充气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247BC0" w:rsidRDefault="00247BC0" w:rsidP="00247BC0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247BC0">
        <w:rPr>
          <w:rFonts w:cs="Arial" w:hint="eastAsia"/>
          <w:bCs/>
          <w:sz w:val="24"/>
          <w:szCs w:val="24"/>
        </w:rPr>
        <w:t>设备用途：</w:t>
      </w:r>
    </w:p>
    <w:p w:rsidR="004306D2" w:rsidRPr="00247BC0" w:rsidRDefault="000E5B29" w:rsidP="00247BC0">
      <w:pPr>
        <w:pStyle w:val="a3"/>
        <w:spacing w:line="360" w:lineRule="auto"/>
        <w:ind w:left="567" w:firstLine="480"/>
        <w:rPr>
          <w:rFonts w:cs="Arial"/>
          <w:bCs/>
          <w:sz w:val="24"/>
          <w:szCs w:val="24"/>
        </w:rPr>
      </w:pPr>
      <w:r>
        <w:rPr>
          <w:rFonts w:hint="eastAsia"/>
          <w:sz w:val="24"/>
          <w:szCs w:val="24"/>
        </w:rPr>
        <w:t>该</w:t>
      </w:r>
      <w:r w:rsidR="00247BC0" w:rsidRPr="00247BC0">
        <w:rPr>
          <w:rFonts w:hint="eastAsia"/>
          <w:sz w:val="24"/>
          <w:szCs w:val="24"/>
        </w:rPr>
        <w:t>后充气装置用于对</w:t>
      </w:r>
      <w:r>
        <w:rPr>
          <w:rFonts w:hint="eastAsia"/>
          <w:sz w:val="24"/>
          <w:szCs w:val="24"/>
        </w:rPr>
        <w:t>半钢</w:t>
      </w:r>
      <w:r w:rsidR="00247BC0" w:rsidRPr="00247BC0">
        <w:rPr>
          <w:rFonts w:hint="eastAsia"/>
          <w:sz w:val="24"/>
          <w:szCs w:val="24"/>
        </w:rPr>
        <w:t>硫化后胎体温度较高的尼龙帘布线轮胎及时进行充气冷却，以保持轮胎的正确尺寸，减小轮胎胎体的永久变形，</w:t>
      </w:r>
      <w:r w:rsidR="00247BC0" w:rsidRPr="00247BC0">
        <w:rPr>
          <w:sz w:val="24"/>
          <w:szCs w:val="24"/>
        </w:rPr>
        <w:t>有利于提升尺寸稳定性，降低并口、</w:t>
      </w:r>
      <w:r w:rsidR="00247BC0" w:rsidRPr="00247BC0">
        <w:rPr>
          <w:rFonts w:hint="eastAsia"/>
          <w:sz w:val="24"/>
          <w:szCs w:val="24"/>
        </w:rPr>
        <w:t>大规格胎侧整周凸起等</w:t>
      </w:r>
      <w:r w:rsidR="00247BC0" w:rsidRPr="00247BC0">
        <w:rPr>
          <w:sz w:val="24"/>
          <w:szCs w:val="24"/>
        </w:rPr>
        <w:t>风险</w:t>
      </w:r>
      <w:r w:rsidR="00247BC0" w:rsidRPr="00247BC0">
        <w:rPr>
          <w:rFonts w:hint="eastAsia"/>
          <w:sz w:val="24"/>
          <w:szCs w:val="24"/>
        </w:rPr>
        <w:t>，</w:t>
      </w:r>
      <w:r w:rsidR="00247BC0" w:rsidRPr="00247BC0">
        <w:rPr>
          <w:sz w:val="24"/>
          <w:szCs w:val="24"/>
        </w:rPr>
        <w:t>提升配套通过</w:t>
      </w:r>
      <w:r w:rsidR="00247BC0" w:rsidRPr="00247BC0">
        <w:rPr>
          <w:rFonts w:hint="eastAsia"/>
          <w:sz w:val="24"/>
          <w:szCs w:val="24"/>
        </w:rPr>
        <w:t>率，同时</w:t>
      </w:r>
      <w:r w:rsidR="00247BC0" w:rsidRPr="00247BC0">
        <w:rPr>
          <w:sz w:val="24"/>
          <w:szCs w:val="24"/>
        </w:rPr>
        <w:t>减少因轮胎外观</w:t>
      </w:r>
      <w:r w:rsidR="00247BC0" w:rsidRPr="00247BC0">
        <w:rPr>
          <w:rFonts w:hint="eastAsia"/>
          <w:sz w:val="24"/>
          <w:szCs w:val="24"/>
        </w:rPr>
        <w:t>瑕疵</w:t>
      </w:r>
      <w:r w:rsidR="00247BC0" w:rsidRPr="00247BC0">
        <w:rPr>
          <w:sz w:val="24"/>
          <w:szCs w:val="24"/>
        </w:rPr>
        <w:t>导致的市场抱怨等负面影响</w:t>
      </w:r>
      <w:r w:rsidR="00247BC0" w:rsidRPr="00247BC0">
        <w:rPr>
          <w:rFonts w:hint="eastAsia"/>
          <w:sz w:val="24"/>
          <w:szCs w:val="24"/>
        </w:rPr>
        <w:t>，</w:t>
      </w:r>
      <w:r w:rsidR="00247BC0" w:rsidRPr="00247BC0">
        <w:rPr>
          <w:sz w:val="24"/>
          <w:szCs w:val="24"/>
        </w:rPr>
        <w:t>提升产品品牌形象。</w:t>
      </w:r>
      <w:r w:rsidR="00247BC0" w:rsidRPr="00247BC0">
        <w:rPr>
          <w:rFonts w:hint="eastAsia"/>
          <w:sz w:val="24"/>
          <w:szCs w:val="24"/>
        </w:rPr>
        <w:t>半钢研发新规格均为带有后充气规格，如</w:t>
      </w:r>
      <w:r w:rsidR="00247BC0" w:rsidRPr="00247BC0">
        <w:rPr>
          <w:sz w:val="24"/>
          <w:szCs w:val="24"/>
        </w:rPr>
        <w:t>华韧、华悦、EV等</w:t>
      </w:r>
      <w:r w:rsidR="00247BC0" w:rsidRPr="00247BC0">
        <w:rPr>
          <w:rFonts w:hint="eastAsia"/>
          <w:sz w:val="24"/>
          <w:szCs w:val="24"/>
        </w:rPr>
        <w:t>系列</w:t>
      </w:r>
      <w:r w:rsidR="00247BC0" w:rsidRPr="00247BC0">
        <w:rPr>
          <w:sz w:val="24"/>
          <w:szCs w:val="24"/>
        </w:rPr>
        <w:t>产品</w:t>
      </w:r>
      <w:r w:rsidR="00247BC0" w:rsidRPr="00247BC0">
        <w:rPr>
          <w:rFonts w:hint="eastAsia"/>
          <w:sz w:val="24"/>
          <w:szCs w:val="24"/>
        </w:rPr>
        <w:t>陆续</w:t>
      </w:r>
      <w:r w:rsidR="00247BC0" w:rsidRPr="00247BC0">
        <w:rPr>
          <w:sz w:val="24"/>
          <w:szCs w:val="24"/>
        </w:rPr>
        <w:t>投产</w:t>
      </w:r>
      <w:r w:rsidR="00247BC0" w:rsidRPr="00247BC0">
        <w:rPr>
          <w:rFonts w:hint="eastAsia"/>
          <w:sz w:val="24"/>
          <w:szCs w:val="24"/>
        </w:rPr>
        <w:t>并量产，为提升产品质量及研发需求，计划对1</w:t>
      </w:r>
      <w:r w:rsidR="00247BC0" w:rsidRPr="00247BC0">
        <w:rPr>
          <w:sz w:val="24"/>
          <w:szCs w:val="24"/>
        </w:rPr>
        <w:t>000</w:t>
      </w:r>
      <w:r w:rsidR="00247BC0" w:rsidRPr="00247BC0">
        <w:rPr>
          <w:rFonts w:hint="eastAsia"/>
          <w:sz w:val="24"/>
          <w:szCs w:val="24"/>
        </w:rPr>
        <w:t>万套N</w:t>
      </w:r>
      <w:r w:rsidR="00247BC0" w:rsidRPr="00247BC0">
        <w:rPr>
          <w:sz w:val="24"/>
          <w:szCs w:val="24"/>
        </w:rPr>
        <w:t>RM</w:t>
      </w:r>
      <w:r w:rsidR="00247BC0" w:rsidRPr="00247BC0">
        <w:rPr>
          <w:rFonts w:hint="eastAsia"/>
          <w:sz w:val="24"/>
          <w:szCs w:val="24"/>
        </w:rPr>
        <w:t>硫化机增加后充气改造</w:t>
      </w:r>
      <w:r w:rsidR="00AF6890">
        <w:rPr>
          <w:rFonts w:hint="eastAsia"/>
          <w:sz w:val="24"/>
          <w:szCs w:val="24"/>
        </w:rPr>
        <w:t>，详见附件技术协议。</w:t>
      </w:r>
    </w:p>
    <w:p w:rsidR="00FE632A" w:rsidRPr="00247BC0" w:rsidRDefault="00A160ED" w:rsidP="00247BC0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247BC0">
        <w:rPr>
          <w:rFonts w:cs="Times New Roman" w:hint="eastAsia"/>
          <w:bCs/>
          <w:sz w:val="24"/>
          <w:szCs w:val="24"/>
        </w:rPr>
        <w:t>主要</w:t>
      </w:r>
      <w:r w:rsidR="00BB1DFC" w:rsidRPr="00247BC0">
        <w:rPr>
          <w:rFonts w:cs="Times New Roman" w:hint="eastAsia"/>
          <w:bCs/>
          <w:sz w:val="24"/>
          <w:szCs w:val="24"/>
        </w:rPr>
        <w:t>技术</w:t>
      </w:r>
      <w:r w:rsidR="00AA5B21" w:rsidRPr="00247BC0">
        <w:rPr>
          <w:rFonts w:cs="Times New Roman" w:hint="eastAsia"/>
          <w:bCs/>
          <w:sz w:val="24"/>
          <w:szCs w:val="24"/>
        </w:rPr>
        <w:t>参数</w:t>
      </w:r>
      <w:r w:rsidR="00BB1DFC" w:rsidRPr="00247BC0">
        <w:rPr>
          <w:rFonts w:cs="Times New Roman" w:hint="eastAsia"/>
          <w:bCs/>
          <w:sz w:val="24"/>
          <w:szCs w:val="24"/>
        </w:rPr>
        <w:t>：</w:t>
      </w:r>
      <w:r w:rsidR="00247BC0" w:rsidRPr="00247BC0">
        <w:rPr>
          <w:rFonts w:cs="Times New Roman"/>
          <w:bCs/>
          <w:sz w:val="24"/>
          <w:szCs w:val="24"/>
        </w:rPr>
        <w:t xml:space="preserve"> </w:t>
      </w:r>
    </w:p>
    <w:p w:rsidR="00247BC0" w:rsidRPr="00247BC0" w:rsidRDefault="00247BC0" w:rsidP="00247BC0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247BC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247BC0">
        <w:rPr>
          <w:rFonts w:hint="eastAsia"/>
          <w:sz w:val="24"/>
          <w:szCs w:val="24"/>
        </w:rPr>
        <w:t xml:space="preserve"> 适用范围：轮胎外径：       ∮460～∮870mm</w:t>
      </w:r>
    </w:p>
    <w:p w:rsidR="00247BC0" w:rsidRPr="00247BC0" w:rsidRDefault="00247BC0" w:rsidP="00247BC0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247BC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247BC0">
        <w:rPr>
          <w:rFonts w:hint="eastAsia"/>
          <w:sz w:val="24"/>
          <w:szCs w:val="24"/>
        </w:rPr>
        <w:t xml:space="preserve">           轮辋宽度：        Max  1</w:t>
      </w:r>
      <w:r w:rsidRPr="00247BC0">
        <w:rPr>
          <w:sz w:val="24"/>
          <w:szCs w:val="24"/>
        </w:rPr>
        <w:t>2</w:t>
      </w:r>
      <w:r w:rsidRPr="00247BC0">
        <w:rPr>
          <w:rFonts w:hint="eastAsia"/>
          <w:sz w:val="24"/>
          <w:szCs w:val="24"/>
        </w:rPr>
        <w:t>0～</w:t>
      </w:r>
      <w:r w:rsidRPr="00247BC0">
        <w:rPr>
          <w:sz w:val="24"/>
          <w:szCs w:val="24"/>
        </w:rPr>
        <w:t>28</w:t>
      </w:r>
      <w:r w:rsidRPr="00247BC0">
        <w:rPr>
          <w:rFonts w:hint="eastAsia"/>
          <w:sz w:val="24"/>
          <w:szCs w:val="24"/>
        </w:rPr>
        <w:t>0mm</w:t>
      </w:r>
    </w:p>
    <w:p w:rsidR="00247BC0" w:rsidRPr="00247BC0" w:rsidRDefault="00247BC0" w:rsidP="00247BC0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247BC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247BC0">
        <w:rPr>
          <w:rFonts w:hint="eastAsia"/>
          <w:sz w:val="24"/>
          <w:szCs w:val="24"/>
        </w:rPr>
        <w:t xml:space="preserve">       卡盘调节高度：        100～280mm</w:t>
      </w:r>
    </w:p>
    <w:p w:rsidR="00247BC0" w:rsidRPr="00247BC0" w:rsidRDefault="00247BC0" w:rsidP="00247BC0">
      <w:pPr>
        <w:pStyle w:val="a3"/>
        <w:spacing w:line="360" w:lineRule="auto"/>
        <w:ind w:left="360" w:firstLineChars="0" w:firstLine="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4）</w:t>
      </w:r>
      <w:r w:rsidRPr="00247BC0">
        <w:rPr>
          <w:rFonts w:hint="eastAsia"/>
          <w:sz w:val="24"/>
          <w:szCs w:val="24"/>
        </w:rPr>
        <w:t xml:space="preserve">          胎圈内径：        </w:t>
      </w:r>
      <w:r w:rsidRPr="00247BC0">
        <w:rPr>
          <w:rFonts w:hint="eastAsia"/>
          <w:color w:val="FF0000"/>
          <w:sz w:val="24"/>
          <w:szCs w:val="24"/>
        </w:rPr>
        <w:t xml:space="preserve"> </w:t>
      </w:r>
      <w:r w:rsidRPr="00247BC0">
        <w:rPr>
          <w:rFonts w:hint="eastAsia"/>
          <w:sz w:val="24"/>
          <w:szCs w:val="24"/>
        </w:rPr>
        <w:t>1</w:t>
      </w:r>
      <w:r w:rsidR="000E5B29">
        <w:rPr>
          <w:sz w:val="24"/>
          <w:szCs w:val="24"/>
        </w:rPr>
        <w:t>3</w:t>
      </w:r>
      <w:r w:rsidR="000E5B29">
        <w:rPr>
          <w:rFonts w:hint="eastAsia"/>
          <w:sz w:val="24"/>
          <w:szCs w:val="24"/>
        </w:rPr>
        <w:t>＂</w:t>
      </w:r>
      <w:r w:rsidRPr="00247BC0">
        <w:rPr>
          <w:rFonts w:hint="eastAsia"/>
          <w:sz w:val="24"/>
          <w:szCs w:val="24"/>
        </w:rPr>
        <w:t xml:space="preserve"> ～</w:t>
      </w:r>
      <w:r w:rsidRPr="00247BC0">
        <w:rPr>
          <w:sz w:val="24"/>
          <w:szCs w:val="24"/>
        </w:rPr>
        <w:t>22</w:t>
      </w:r>
      <w:r w:rsidR="000E5B29">
        <w:rPr>
          <w:rFonts w:hint="eastAsia"/>
          <w:sz w:val="24"/>
          <w:szCs w:val="24"/>
        </w:rPr>
        <w:t>＂</w:t>
      </w:r>
    </w:p>
    <w:p w:rsidR="00AA5B21" w:rsidRPr="00A160ED" w:rsidRDefault="00247BC0" w:rsidP="00247BC0">
      <w:pPr>
        <w:spacing w:line="360" w:lineRule="auto"/>
        <w:ind w:leftChars="194" w:left="563" w:hangingChars="65" w:hanging="156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247BC0">
        <w:rPr>
          <w:rFonts w:hint="eastAsia"/>
          <w:sz w:val="24"/>
          <w:szCs w:val="24"/>
        </w:rPr>
        <w:t xml:space="preserve">   最大充气压力：</w:t>
      </w:r>
      <w:r w:rsidR="000E5B29">
        <w:rPr>
          <w:rFonts w:hint="eastAsia"/>
          <w:sz w:val="24"/>
          <w:szCs w:val="24"/>
        </w:rPr>
        <w:t xml:space="preserve">         0.</w:t>
      </w:r>
      <w:r w:rsidR="000E5B29">
        <w:rPr>
          <w:sz w:val="24"/>
          <w:szCs w:val="24"/>
        </w:rPr>
        <w:t>1</w:t>
      </w:r>
      <w:r w:rsidRPr="00247BC0">
        <w:rPr>
          <w:rFonts w:hint="eastAsia"/>
          <w:sz w:val="24"/>
          <w:szCs w:val="24"/>
        </w:rPr>
        <w:t>～</w:t>
      </w:r>
      <w:r w:rsidR="000E5B29">
        <w:rPr>
          <w:sz w:val="24"/>
          <w:szCs w:val="24"/>
        </w:rPr>
        <w:t>0.5</w:t>
      </w:r>
      <w:r w:rsidRPr="00247BC0">
        <w:rPr>
          <w:rFonts w:hint="eastAsia"/>
          <w:sz w:val="24"/>
          <w:szCs w:val="24"/>
        </w:rPr>
        <w:t>MPa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</w:t>
      </w:r>
      <w:r w:rsidR="00247BC0">
        <w:rPr>
          <w:rFonts w:cs="Arial" w:hint="eastAsia"/>
          <w:bCs/>
          <w:color w:val="000000" w:themeColor="text1"/>
          <w:sz w:val="24"/>
          <w:szCs w:val="24"/>
        </w:rPr>
        <w:t>合同生效后3个月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D256D8">
        <w:rPr>
          <w:rFonts w:cs="Times New Roman" w:hint="eastAsia"/>
          <w:sz w:val="24"/>
          <w:szCs w:val="24"/>
        </w:rPr>
        <w:t xml:space="preserve">张建礼 </w:t>
      </w:r>
      <w:r w:rsidR="00D256D8">
        <w:rPr>
          <w:rFonts w:cs="Times New Roman"/>
          <w:sz w:val="24"/>
          <w:szCs w:val="24"/>
        </w:rPr>
        <w:t>15662369502</w:t>
      </w:r>
      <w:r w:rsidR="00D256D8">
        <w:rPr>
          <w:rFonts w:cs="Times New Roman" w:hint="eastAsia"/>
          <w:sz w:val="24"/>
          <w:szCs w:val="24"/>
        </w:rPr>
        <w:t>（机械</w:t>
      </w:r>
      <w:r w:rsidR="00D256D8">
        <w:rPr>
          <w:rFonts w:cs="Times New Roman"/>
          <w:sz w:val="24"/>
          <w:szCs w:val="24"/>
        </w:rPr>
        <w:t>）/</w:t>
      </w:r>
      <w:r w:rsidR="00D256D8">
        <w:rPr>
          <w:rFonts w:cs="Times New Roman" w:hint="eastAsia"/>
          <w:sz w:val="24"/>
          <w:szCs w:val="24"/>
        </w:rPr>
        <w:t xml:space="preserve">周新燕 </w:t>
      </w:r>
      <w:r w:rsidR="00D256D8">
        <w:rPr>
          <w:rFonts w:cs="Times New Roman"/>
          <w:sz w:val="24"/>
          <w:szCs w:val="24"/>
        </w:rPr>
        <w:t>15666307332</w:t>
      </w:r>
      <w:r w:rsidR="00D256D8">
        <w:rPr>
          <w:rFonts w:cs="Times New Roman" w:hint="eastAsia"/>
          <w:sz w:val="24"/>
          <w:szCs w:val="24"/>
        </w:rPr>
        <w:t>（电气）</w:t>
      </w:r>
    </w:p>
    <w:p w:rsidR="00D256D8" w:rsidRPr="00D256D8" w:rsidRDefault="00D256D8" w:rsidP="00D256D8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</w:p>
    <w:sectPr w:rsidR="00D256D8" w:rsidRPr="00D256D8" w:rsidSect="00247BC0">
      <w:pgSz w:w="11906" w:h="16838"/>
      <w:pgMar w:top="1440" w:right="113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79" w:rsidRDefault="00FA6D79" w:rsidP="006731AF">
      <w:r>
        <w:separator/>
      </w:r>
    </w:p>
  </w:endnote>
  <w:endnote w:type="continuationSeparator" w:id="0">
    <w:p w:rsidR="00FA6D79" w:rsidRDefault="00FA6D79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79" w:rsidRDefault="00FA6D79" w:rsidP="006731AF">
      <w:r>
        <w:separator/>
      </w:r>
    </w:p>
  </w:footnote>
  <w:footnote w:type="continuationSeparator" w:id="0">
    <w:p w:rsidR="00FA6D79" w:rsidRDefault="00FA6D79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5771606"/>
    <w:multiLevelType w:val="hybridMultilevel"/>
    <w:tmpl w:val="FA6A80F2"/>
    <w:lvl w:ilvl="0" w:tplc="7008463C">
      <w:start w:val="5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1"/>
  </w:num>
  <w:num w:numId="11">
    <w:abstractNumId w:val="33"/>
  </w:num>
  <w:num w:numId="12">
    <w:abstractNumId w:val="30"/>
  </w:num>
  <w:num w:numId="13">
    <w:abstractNumId w:val="17"/>
  </w:num>
  <w:num w:numId="14">
    <w:abstractNumId w:val="42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40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E5B29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47BC0"/>
    <w:rsid w:val="00274112"/>
    <w:rsid w:val="002930A5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B0354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167A1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AF6890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256D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A6D79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6F5A4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6B7D-E6E2-4A91-A7C3-CEC41ED5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Zhou, Xin Yan</cp:lastModifiedBy>
  <cp:revision>14</cp:revision>
  <dcterms:created xsi:type="dcterms:W3CDTF">2023-02-10T00:20:00Z</dcterms:created>
  <dcterms:modified xsi:type="dcterms:W3CDTF">2023-05-08T02:25:00Z</dcterms:modified>
</cp:coreProperties>
</file>