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0D9BBA3F" w:rsidR="00B07E7A" w:rsidRPr="00F36733" w:rsidRDefault="00F36733">
      <w:pPr>
        <w:spacing w:line="400" w:lineRule="exact"/>
        <w:jc w:val="center"/>
        <w:rPr>
          <w:rFonts w:ascii="宋体" w:hAnsi="宋体"/>
          <w:b/>
          <w:sz w:val="28"/>
          <w:szCs w:val="24"/>
        </w:rPr>
      </w:pPr>
      <w:bookmarkStart w:id="0" w:name="_GoBack"/>
      <w:bookmarkEnd w:id="0"/>
      <w:r w:rsidRPr="00F36733">
        <w:rPr>
          <w:rFonts w:ascii="宋体" w:hAnsi="宋体" w:hint="eastAsia"/>
          <w:b/>
          <w:sz w:val="28"/>
          <w:szCs w:val="24"/>
        </w:rPr>
        <w:t>六分力实验室项目土建标段</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0075E096"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F36733" w:rsidRPr="00F36733">
        <w:rPr>
          <w:rFonts w:ascii="宋体" w:hAnsi="宋体" w:hint="eastAsia"/>
          <w:sz w:val="24"/>
          <w:szCs w:val="24"/>
        </w:rPr>
        <w:t>六分力实验室项目土建标段</w:t>
      </w:r>
    </w:p>
    <w:p w14:paraId="30C41599" w14:textId="77777777"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D7D6653" w14:textId="4127FA69"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概况：建筑面积约</w:t>
      </w:r>
      <w:r w:rsidR="00F36733">
        <w:rPr>
          <w:rFonts w:ascii="宋体" w:hAnsi="宋体"/>
          <w:sz w:val="24"/>
          <w:szCs w:val="24"/>
        </w:rPr>
        <w:t>120</w:t>
      </w:r>
      <w:r>
        <w:rPr>
          <w:rFonts w:ascii="宋体" w:hAnsi="宋体" w:hint="eastAsia"/>
          <w:sz w:val="24"/>
          <w:szCs w:val="24"/>
        </w:rPr>
        <w:t>㎡，具体见清单；</w:t>
      </w:r>
    </w:p>
    <w:p w14:paraId="7ECB6387" w14:textId="77777777" w:rsidR="00B07E7A" w:rsidRDefault="00731620">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5EA5D7AA" w:rsidR="00B07E7A" w:rsidRDefault="00731620">
      <w:pPr>
        <w:spacing w:line="400" w:lineRule="exact"/>
        <w:ind w:firstLineChars="150" w:firstLine="360"/>
        <w:rPr>
          <w:rFonts w:ascii="宋体" w:hAnsi="宋体"/>
          <w:sz w:val="24"/>
          <w:szCs w:val="24"/>
        </w:rPr>
      </w:pPr>
      <w:r>
        <w:rPr>
          <w:rFonts w:ascii="宋体" w:hAnsi="宋体" w:hint="eastAsia"/>
          <w:sz w:val="24"/>
          <w:szCs w:val="24"/>
        </w:rPr>
        <w:t>主要包括地坪浇筑及固化、</w:t>
      </w:r>
      <w:r w:rsidR="00F36733">
        <w:rPr>
          <w:rFonts w:ascii="宋体" w:hAnsi="宋体" w:hint="eastAsia"/>
          <w:sz w:val="24"/>
          <w:szCs w:val="24"/>
        </w:rPr>
        <w:t>设备基础施工、地沟施工、墙体拆除等</w:t>
      </w:r>
      <w:r>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56FEC8D" w14:textId="680F7425" w:rsidR="00B07E7A" w:rsidRDefault="00731620">
      <w:pPr>
        <w:spacing w:line="400" w:lineRule="exact"/>
        <w:rPr>
          <w:rFonts w:ascii="宋体" w:hAnsi="宋体"/>
          <w:sz w:val="24"/>
          <w:szCs w:val="24"/>
        </w:rPr>
      </w:pPr>
      <w:r>
        <w:rPr>
          <w:rFonts w:ascii="宋体" w:hAnsi="宋体" w:hint="eastAsia"/>
          <w:sz w:val="24"/>
          <w:szCs w:val="24"/>
        </w:rPr>
        <w:t>总工期：</w:t>
      </w:r>
      <w:r w:rsidR="00F36733">
        <w:rPr>
          <w:rFonts w:ascii="宋体" w:hAnsi="宋体" w:hint="eastAsia"/>
          <w:sz w:val="24"/>
          <w:szCs w:val="24"/>
        </w:rPr>
        <w:t>约2</w:t>
      </w:r>
      <w:r w:rsidR="00F36733">
        <w:rPr>
          <w:rFonts w:ascii="宋体" w:hAnsi="宋体"/>
          <w:sz w:val="24"/>
          <w:szCs w:val="24"/>
        </w:rPr>
        <w:t>5</w:t>
      </w:r>
      <w:r>
        <w:rPr>
          <w:rFonts w:ascii="宋体" w:hAnsi="宋体" w:hint="eastAsia"/>
          <w:sz w:val="24"/>
          <w:szCs w:val="24"/>
        </w:rPr>
        <w:t>自然天。进场时间以甲方通知为准。</w:t>
      </w:r>
    </w:p>
    <w:p w14:paraId="0B5BED0B" w14:textId="77777777" w:rsidR="00F36733" w:rsidRDefault="00F36733">
      <w:pPr>
        <w:spacing w:line="400" w:lineRule="exact"/>
        <w:rPr>
          <w:rFonts w:ascii="宋体" w:hAnsi="宋体"/>
          <w:sz w:val="24"/>
          <w:szCs w:val="24"/>
        </w:rPr>
      </w:pPr>
      <w:r>
        <w:rPr>
          <w:rFonts w:ascii="宋体" w:hAnsi="宋体" w:hint="eastAsia"/>
          <w:sz w:val="24"/>
          <w:szCs w:val="24"/>
        </w:rPr>
        <w:t>本项目分两个阶段：</w:t>
      </w:r>
    </w:p>
    <w:p w14:paraId="2B63ECA2" w14:textId="77777777" w:rsidR="00F36733" w:rsidRDefault="00F36733">
      <w:pPr>
        <w:spacing w:line="400" w:lineRule="exact"/>
        <w:rPr>
          <w:rFonts w:ascii="宋体" w:hAnsi="宋体"/>
          <w:sz w:val="24"/>
          <w:szCs w:val="24"/>
        </w:rPr>
      </w:pPr>
      <w:r>
        <w:rPr>
          <w:rFonts w:ascii="宋体" w:hAnsi="宋体" w:hint="eastAsia"/>
          <w:sz w:val="24"/>
          <w:szCs w:val="24"/>
        </w:rPr>
        <w:t>第一阶段在4月</w:t>
      </w:r>
      <w:r>
        <w:rPr>
          <w:rFonts w:ascii="宋体" w:hAnsi="宋体"/>
          <w:sz w:val="24"/>
          <w:szCs w:val="24"/>
        </w:rPr>
        <w:t>25</w:t>
      </w:r>
      <w:r>
        <w:rPr>
          <w:rFonts w:ascii="宋体" w:hAnsi="宋体" w:hint="eastAsia"/>
          <w:sz w:val="24"/>
          <w:szCs w:val="24"/>
        </w:rPr>
        <w:t>日前完成基础、地沟浇筑及回填；</w:t>
      </w:r>
    </w:p>
    <w:p w14:paraId="2F05F538" w14:textId="60A169C7" w:rsidR="00B07E7A" w:rsidRDefault="00F36733">
      <w:pPr>
        <w:spacing w:line="400" w:lineRule="exact"/>
        <w:rPr>
          <w:rFonts w:ascii="宋体" w:hAnsi="宋体"/>
          <w:sz w:val="24"/>
          <w:szCs w:val="24"/>
        </w:rPr>
      </w:pPr>
      <w:r>
        <w:rPr>
          <w:rFonts w:ascii="宋体" w:hAnsi="宋体" w:hint="eastAsia"/>
          <w:sz w:val="24"/>
          <w:szCs w:val="24"/>
        </w:rPr>
        <w:t>第二阶段在6月3</w:t>
      </w:r>
      <w:r>
        <w:rPr>
          <w:rFonts w:ascii="宋体" w:hAnsi="宋体"/>
          <w:sz w:val="24"/>
          <w:szCs w:val="24"/>
        </w:rPr>
        <w:t>0</w:t>
      </w:r>
      <w:r>
        <w:rPr>
          <w:rFonts w:ascii="宋体" w:hAnsi="宋体" w:hint="eastAsia"/>
          <w:sz w:val="24"/>
          <w:szCs w:val="24"/>
        </w:rPr>
        <w:t>日前完成地坪浇筑和固化。</w:t>
      </w:r>
      <w:r w:rsidR="00731620">
        <w:rPr>
          <w:rFonts w:ascii="宋体" w:hAnsi="宋体" w:hint="eastAsia"/>
          <w:sz w:val="24"/>
          <w:szCs w:val="24"/>
        </w:rPr>
        <w:t xml:space="preserve">  </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77777777" w:rsidR="00B07E7A" w:rsidRDefault="00731620">
      <w:pPr>
        <w:spacing w:line="400" w:lineRule="exact"/>
        <w:rPr>
          <w:rFonts w:ascii="宋体" w:hAnsi="宋体"/>
          <w:b/>
          <w:sz w:val="24"/>
          <w:szCs w:val="24"/>
        </w:rPr>
      </w:pPr>
      <w:r>
        <w:rPr>
          <w:rFonts w:ascii="宋体" w:hAnsi="宋体" w:hint="eastAsia"/>
          <w:sz w:val="24"/>
          <w:szCs w:val="24"/>
        </w:rPr>
        <w:t>双方根据《建设工程质量管理条例》、有关规定及甲方要求，约定本工程的质量保修期为1年；</w:t>
      </w:r>
    </w:p>
    <w:p w14:paraId="0CD0BC70" w14:textId="77777777"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3ED9DF3E" w14:textId="7BA7D3CB" w:rsidR="00B07E7A" w:rsidRDefault="00EC3483">
      <w:pPr>
        <w:spacing w:line="360" w:lineRule="auto"/>
        <w:ind w:firstLineChars="100" w:firstLine="241"/>
        <w:rPr>
          <w:rFonts w:ascii="宋体" w:hAnsi="宋体"/>
          <w:color w:val="000000"/>
          <w:sz w:val="24"/>
          <w:szCs w:val="24"/>
        </w:rPr>
      </w:pPr>
      <w:r>
        <w:rPr>
          <w:rFonts w:ascii="宋体" w:hAnsi="宋体" w:hint="eastAsia"/>
          <w:b/>
          <w:color w:val="000000"/>
          <w:sz w:val="24"/>
          <w:szCs w:val="24"/>
        </w:rPr>
        <w:t>除固化施工外，本项目施工的其他技术要求等内容见工程量清单中的特征描述及建筑施工相关规范。</w:t>
      </w:r>
    </w:p>
    <w:p w14:paraId="3A363325" w14:textId="20A666C6" w:rsidR="00EC3483" w:rsidRPr="00367DBE" w:rsidRDefault="00367DBE" w:rsidP="00EC3483">
      <w:pPr>
        <w:spacing w:line="360" w:lineRule="auto"/>
        <w:ind w:firstLineChars="100" w:firstLine="241"/>
        <w:rPr>
          <w:rFonts w:ascii="宋体" w:hAnsi="宋体"/>
          <w:b/>
          <w:color w:val="000000"/>
          <w:sz w:val="24"/>
          <w:szCs w:val="24"/>
        </w:rPr>
      </w:pPr>
      <w:r>
        <w:rPr>
          <w:rFonts w:ascii="宋体" w:hAnsi="宋体" w:hint="eastAsia"/>
          <w:b/>
          <w:color w:val="000000"/>
          <w:sz w:val="24"/>
          <w:szCs w:val="24"/>
        </w:rPr>
        <w:t>（一）</w:t>
      </w:r>
      <w:r w:rsidR="00EC3483" w:rsidRPr="00367DBE">
        <w:rPr>
          <w:rFonts w:ascii="宋体" w:hAnsi="宋体" w:hint="eastAsia"/>
          <w:b/>
          <w:color w:val="000000"/>
          <w:sz w:val="24"/>
          <w:szCs w:val="24"/>
        </w:rPr>
        <w:t>固化施工技术要求：</w:t>
      </w:r>
    </w:p>
    <w:p w14:paraId="0B3621FC" w14:textId="6444B08E"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1、混凝土密封固化地坪原材料及功能要求</w:t>
      </w:r>
    </w:p>
    <w:p w14:paraId="36C277EB"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 本工程项目的混凝土固化地面成活要求为：本色，抛光。</w:t>
      </w:r>
    </w:p>
    <w:p w14:paraId="5D7F552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1.2 原材料进场必须提供产品合格证及检测报告等相关资料，进场材料必须是原厂包装未开封产品。</w:t>
      </w:r>
    </w:p>
    <w:p w14:paraId="78F195E5"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1.3 固化剂选用碱性固化剂,产品品牌需采用国内外知名品牌。</w:t>
      </w:r>
    </w:p>
    <w:p w14:paraId="67107A4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1.4 耐磨性：用混凝土密封固化剂处理后，地面的耐磨性提高59%以上，可迅速阻止地面起</w:t>
      </w:r>
      <w:proofErr w:type="gramStart"/>
      <w:r w:rsidRPr="00EC3483">
        <w:rPr>
          <w:rFonts w:ascii="宋体" w:hAnsi="宋体" w:hint="eastAsia"/>
          <w:color w:val="000000"/>
          <w:sz w:val="24"/>
          <w:szCs w:val="24"/>
        </w:rPr>
        <w:t>灰起砂</w:t>
      </w:r>
      <w:proofErr w:type="gramEnd"/>
      <w:r w:rsidRPr="00EC3483">
        <w:rPr>
          <w:rFonts w:ascii="宋体" w:hAnsi="宋体" w:hint="eastAsia"/>
          <w:color w:val="000000"/>
          <w:sz w:val="24"/>
          <w:szCs w:val="24"/>
        </w:rPr>
        <w:t>。</w:t>
      </w:r>
    </w:p>
    <w:p w14:paraId="7E2F30C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1.5 高硬度：用混凝土密封固化剂处理后，硬度增加到莫氏7及以上，一个月内比未处理的地面强度提高50%，并且随着时间持续增强。</w:t>
      </w:r>
    </w:p>
    <w:p w14:paraId="736F5DB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1.6 防污性：经密封固化剂处理过的混凝土平均抗污能力提高23%以上。</w:t>
      </w:r>
    </w:p>
    <w:p w14:paraId="126A450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1.7 防渗性：地面防渗性提高，静态吸水量减小200%。深层密封，形成致密防渗实体，防止水、油、油脂和其它污物的侵蚀，延长混凝土的使用寿命。</w:t>
      </w:r>
    </w:p>
    <w:p w14:paraId="11E66BB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lastRenderedPageBreak/>
        <w:t>1.8 光泽度：根据研磨工艺的不同选择，涂刷混凝土密封固化剂后，未经研磨处理过的地面，其光泽度在施工后一个月内逐步提高；经过研磨后的地面，</w:t>
      </w:r>
      <w:proofErr w:type="gramStart"/>
      <w:r w:rsidRPr="00EC3483">
        <w:rPr>
          <w:rFonts w:ascii="宋体" w:hAnsi="宋体" w:hint="eastAsia"/>
          <w:color w:val="000000"/>
          <w:sz w:val="24"/>
          <w:szCs w:val="24"/>
        </w:rPr>
        <w:t>研磨号段越</w:t>
      </w:r>
      <w:proofErr w:type="gramEnd"/>
      <w:r w:rsidRPr="00EC3483">
        <w:rPr>
          <w:rFonts w:ascii="宋体" w:hAnsi="宋体" w:hint="eastAsia"/>
          <w:color w:val="000000"/>
          <w:sz w:val="24"/>
          <w:szCs w:val="24"/>
        </w:rPr>
        <w:t>高，光泽度越高，最高可达到70度左右。禁止使用抛光液。</w:t>
      </w:r>
    </w:p>
    <w:p w14:paraId="4FBF2D5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1.9 地面泛潮：无膨胀凝胶不吸收水，可以有效拒水，也不会引起泛潮。</w:t>
      </w:r>
    </w:p>
    <w:p w14:paraId="743B1E9F"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1.10龟裂：避免混凝土表面龟裂，泛碱（原地坪存在裂缝需修复）。</w:t>
      </w:r>
    </w:p>
    <w:p w14:paraId="1B12A68F"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1.11 ASR反应：降低或消除碱骨料反应(ASR反应)</w:t>
      </w:r>
    </w:p>
    <w:p w14:paraId="358C8BE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1.12使用寿命：正常使用寿命20年以上。</w:t>
      </w:r>
    </w:p>
    <w:p w14:paraId="6BDFC92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2、施工工艺</w:t>
      </w:r>
    </w:p>
    <w:p w14:paraId="0333B0E9"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（1）基层处理</w:t>
      </w:r>
    </w:p>
    <w:p w14:paraId="71169DDA"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1.对地表面的孔洞和明显凹陷处、结构裂纹采用高强</w:t>
      </w:r>
      <w:proofErr w:type="gramStart"/>
      <w:r w:rsidRPr="00EC3483">
        <w:rPr>
          <w:rFonts w:ascii="宋体" w:hAnsi="宋体" w:hint="eastAsia"/>
          <w:color w:val="000000"/>
          <w:sz w:val="24"/>
          <w:szCs w:val="24"/>
        </w:rPr>
        <w:t>水性双</w:t>
      </w:r>
      <w:proofErr w:type="gramEnd"/>
      <w:r w:rsidRPr="00EC3483">
        <w:rPr>
          <w:rFonts w:ascii="宋体" w:hAnsi="宋体" w:hint="eastAsia"/>
          <w:color w:val="000000"/>
          <w:sz w:val="24"/>
          <w:szCs w:val="24"/>
        </w:rPr>
        <w:t>组份聚合砂浆修补至平整。</w:t>
      </w:r>
    </w:p>
    <w:p w14:paraId="0BB2B1C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2.选用多功能重型研磨机采用120#磨片研磨至结构层且表面相对圆滑、密实。</w:t>
      </w:r>
    </w:p>
    <w:p w14:paraId="615AFA5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 采用专用工具对地面泥浆或浮尘进行清理。</w:t>
      </w:r>
    </w:p>
    <w:p w14:paraId="7A425CF3"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（2）地面粗磨</w:t>
      </w:r>
    </w:p>
    <w:p w14:paraId="5EF4E0D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1.选用10P专用12磨头重型变频打磨机，选用50#树脂磨片十字交叉打磨2遍。</w:t>
      </w:r>
    </w:p>
    <w:p w14:paraId="7361AC95"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2.选用10P专用12磨头重型变频打磨机采用100#树脂磨片十字交叉研磨至结构层且表面相对平整.</w:t>
      </w:r>
    </w:p>
    <w:p w14:paraId="0526B73C"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3.选用多功能重型研磨机采用200#树脂磨片研磨至结构层且表面相对圆滑、密实.</w:t>
      </w:r>
    </w:p>
    <w:p w14:paraId="395029E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4.采用专用工具对地面泥浆或浮尘进行清理。</w:t>
      </w:r>
    </w:p>
    <w:p w14:paraId="53634F3D"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 对地面进行整体清洗。</w:t>
      </w:r>
    </w:p>
    <w:p w14:paraId="23E3C15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说明：磨片的选用需根据现场基层地面实际情况确定所选类型及型号。</w:t>
      </w:r>
    </w:p>
    <w:p w14:paraId="737CC27A"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（3）固化剂喷施：</w:t>
      </w:r>
    </w:p>
    <w:p w14:paraId="143DB20B"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1.根据地面的密实度选用合适固化剂。</w:t>
      </w:r>
    </w:p>
    <w:p w14:paraId="1DE3FCE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2.采用专用高压喷涂器将无色固化剂喷施均匀。</w:t>
      </w:r>
    </w:p>
    <w:p w14:paraId="4E69160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3.采用</w:t>
      </w:r>
      <w:proofErr w:type="gramStart"/>
      <w:r w:rsidRPr="00EC3483">
        <w:rPr>
          <w:rFonts w:ascii="宋体" w:hAnsi="宋体" w:hint="eastAsia"/>
          <w:color w:val="000000"/>
          <w:sz w:val="24"/>
          <w:szCs w:val="24"/>
        </w:rPr>
        <w:t>拖料刷将固化剂施涂均匀</w:t>
      </w:r>
      <w:proofErr w:type="gramEnd"/>
      <w:r w:rsidRPr="00EC3483">
        <w:rPr>
          <w:rFonts w:ascii="宋体" w:hAnsi="宋体" w:hint="eastAsia"/>
          <w:color w:val="000000"/>
          <w:sz w:val="24"/>
          <w:szCs w:val="24"/>
        </w:rPr>
        <w:t>，并</w:t>
      </w:r>
      <w:proofErr w:type="gramStart"/>
      <w:r w:rsidRPr="00EC3483">
        <w:rPr>
          <w:rFonts w:ascii="宋体" w:hAnsi="宋体" w:hint="eastAsia"/>
          <w:color w:val="000000"/>
          <w:sz w:val="24"/>
          <w:szCs w:val="24"/>
        </w:rPr>
        <w:t>拖施至黏</w:t>
      </w:r>
      <w:proofErr w:type="gramEnd"/>
      <w:r w:rsidRPr="00EC3483">
        <w:rPr>
          <w:rFonts w:ascii="宋体" w:hAnsi="宋体" w:hint="eastAsia"/>
          <w:color w:val="000000"/>
          <w:sz w:val="24"/>
          <w:szCs w:val="24"/>
        </w:rPr>
        <w:t>稠状态，充分浸润≥8小时以上。</w:t>
      </w:r>
    </w:p>
    <w:p w14:paraId="307E358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4.采用喷雾器喷水对地面残留固化剂稀释，采用</w:t>
      </w:r>
      <w:proofErr w:type="gramStart"/>
      <w:r w:rsidRPr="00EC3483">
        <w:rPr>
          <w:rFonts w:ascii="宋体" w:hAnsi="宋体" w:hint="eastAsia"/>
          <w:color w:val="000000"/>
          <w:sz w:val="24"/>
          <w:szCs w:val="24"/>
        </w:rPr>
        <w:t>拖料刷将</w:t>
      </w:r>
      <w:proofErr w:type="gramEnd"/>
      <w:r w:rsidRPr="00EC3483">
        <w:rPr>
          <w:rFonts w:ascii="宋体" w:hAnsi="宋体" w:hint="eastAsia"/>
          <w:color w:val="000000"/>
          <w:sz w:val="24"/>
          <w:szCs w:val="24"/>
        </w:rPr>
        <w:t>无色固化剂二次</w:t>
      </w:r>
      <w:proofErr w:type="gramStart"/>
      <w:r w:rsidRPr="00EC3483">
        <w:rPr>
          <w:rFonts w:ascii="宋体" w:hAnsi="宋体" w:hint="eastAsia"/>
          <w:color w:val="000000"/>
          <w:sz w:val="24"/>
          <w:szCs w:val="24"/>
        </w:rPr>
        <w:t>拖施至</w:t>
      </w:r>
      <w:proofErr w:type="gramEnd"/>
      <w:r w:rsidRPr="00EC3483">
        <w:rPr>
          <w:rFonts w:ascii="宋体" w:hAnsi="宋体" w:hint="eastAsia"/>
          <w:color w:val="000000"/>
          <w:sz w:val="24"/>
          <w:szCs w:val="24"/>
        </w:rPr>
        <w:t>完全渗透状态。</w:t>
      </w:r>
    </w:p>
    <w:p w14:paraId="74D7431E"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5.采用专用</w:t>
      </w:r>
      <w:proofErr w:type="gramStart"/>
      <w:r w:rsidRPr="00EC3483">
        <w:rPr>
          <w:rFonts w:ascii="宋体" w:hAnsi="宋体" w:hint="eastAsia"/>
          <w:color w:val="000000"/>
          <w:sz w:val="24"/>
          <w:szCs w:val="24"/>
        </w:rPr>
        <w:t>抛施设备</w:t>
      </w:r>
      <w:proofErr w:type="gramEnd"/>
      <w:r w:rsidRPr="00EC3483">
        <w:rPr>
          <w:rFonts w:ascii="宋体" w:hAnsi="宋体" w:hint="eastAsia"/>
          <w:color w:val="000000"/>
          <w:sz w:val="24"/>
          <w:szCs w:val="24"/>
        </w:rPr>
        <w:t>将残留于地面固化剂清除。</w:t>
      </w:r>
    </w:p>
    <w:p w14:paraId="0136CB0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 xml:space="preserve"> (4)地面中磨：</w:t>
      </w:r>
    </w:p>
    <w:p w14:paraId="2E170855"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 选用重型专用变频研磨机（700转），采用400#树脂磨片交叉研磨2道。</w:t>
      </w:r>
    </w:p>
    <w:p w14:paraId="44A78157"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lastRenderedPageBreak/>
        <w:t>2. 选用10P专用12磨头重型变频打磨机（1400转），采用800#树脂磨片研磨1道。</w:t>
      </w:r>
    </w:p>
    <w:p w14:paraId="6919D17D"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 采用专用洗液对混凝土地面进行除碱作业。</w:t>
      </w:r>
    </w:p>
    <w:p w14:paraId="1E8699B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 采用专用工具对地面除碱残液或浮尘清理干净（可选工艺）。</w:t>
      </w:r>
    </w:p>
    <w:p w14:paraId="2CC35A7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（5）地面精磨：</w:t>
      </w:r>
    </w:p>
    <w:p w14:paraId="5D7188E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 选用10P专用12磨头重型变频打磨机（1400转），采用1500#干树脂片研磨1道。</w:t>
      </w:r>
    </w:p>
    <w:p w14:paraId="679DD65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 选用10P专用12磨头重型变频打磨机（1400转），采用2000#干树脂片研磨1道。</w:t>
      </w:r>
    </w:p>
    <w:p w14:paraId="2D33B77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（6）抛光</w:t>
      </w:r>
    </w:p>
    <w:p w14:paraId="341157F9" w14:textId="77777777" w:rsidR="00EC3483" w:rsidRPr="00EC3483" w:rsidRDefault="00EC3483" w:rsidP="00EC3483">
      <w:pPr>
        <w:rPr>
          <w:szCs w:val="21"/>
        </w:rPr>
      </w:pPr>
      <w:r w:rsidRPr="00EC3483">
        <w:rPr>
          <w:rFonts w:ascii="宋体" w:hAnsi="宋体" w:hint="eastAsia"/>
          <w:color w:val="000000"/>
          <w:sz w:val="24"/>
          <w:szCs w:val="24"/>
        </w:rPr>
        <w:t>1.高光地面可选用专用高速变频抛光机，采用3M抛光</w:t>
      </w:r>
      <w:proofErr w:type="gramStart"/>
      <w:r w:rsidRPr="00EC3483">
        <w:rPr>
          <w:rFonts w:ascii="宋体" w:hAnsi="宋体" w:hint="eastAsia"/>
          <w:color w:val="000000"/>
          <w:sz w:val="24"/>
          <w:szCs w:val="24"/>
        </w:rPr>
        <w:t>垫进行</w:t>
      </w:r>
      <w:proofErr w:type="gramEnd"/>
      <w:r w:rsidRPr="00EC3483">
        <w:rPr>
          <w:rFonts w:ascii="宋体" w:hAnsi="宋体" w:hint="eastAsia"/>
          <w:color w:val="000000"/>
          <w:sz w:val="24"/>
          <w:szCs w:val="24"/>
        </w:rPr>
        <w:t>抛光1道。</w:t>
      </w:r>
    </w:p>
    <w:p w14:paraId="4DA71E2D" w14:textId="77777777" w:rsidR="00B07E7A" w:rsidRDefault="00731620">
      <w:pPr>
        <w:spacing w:line="360" w:lineRule="auto"/>
        <w:ind w:firstLineChars="100" w:firstLine="241"/>
        <w:rPr>
          <w:rFonts w:ascii="宋体" w:hAnsi="宋体"/>
          <w:color w:val="000000"/>
          <w:sz w:val="24"/>
          <w:szCs w:val="24"/>
        </w:rPr>
      </w:pPr>
      <w:r>
        <w:rPr>
          <w:rFonts w:ascii="宋体" w:hAnsi="宋体" w:hint="eastAsia"/>
          <w:b/>
          <w:sz w:val="24"/>
          <w:szCs w:val="24"/>
        </w:rPr>
        <w:t>五、其他</w:t>
      </w:r>
    </w:p>
    <w:p w14:paraId="1F3D72E0" w14:textId="77777777"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7777777" w:rsidR="00B07E7A" w:rsidRDefault="00731620">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w:t>
      </w:r>
      <w:r>
        <w:rPr>
          <w:rFonts w:ascii="宋体" w:hAnsi="宋体" w:hint="eastAsia"/>
          <w:sz w:val="24"/>
          <w:szCs w:val="24"/>
        </w:rPr>
        <w:lastRenderedPageBreak/>
        <w:t>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headerReference w:type="even" r:id="rId7"/>
      <w:headerReference w:type="default" r:id="rId8"/>
      <w:headerReference w:type="first" r:id="rId9"/>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3B1E0" w14:textId="77777777" w:rsidR="00FF5446" w:rsidRDefault="00FF5446">
      <w:r>
        <w:separator/>
      </w:r>
    </w:p>
  </w:endnote>
  <w:endnote w:type="continuationSeparator" w:id="0">
    <w:p w14:paraId="788C6713" w14:textId="77777777" w:rsidR="00FF5446" w:rsidRDefault="00FF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1039" w14:textId="77777777" w:rsidR="00FF5446" w:rsidRDefault="00FF5446">
      <w:r>
        <w:separator/>
      </w:r>
    </w:p>
  </w:footnote>
  <w:footnote w:type="continuationSeparator" w:id="0">
    <w:p w14:paraId="79D0EC97" w14:textId="77777777" w:rsidR="00FF5446" w:rsidRDefault="00FF5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FF5446">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FF5446">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FF5446">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6702F"/>
    <w:rsid w:val="000744CD"/>
    <w:rsid w:val="00074CF4"/>
    <w:rsid w:val="000758AC"/>
    <w:rsid w:val="000820DE"/>
    <w:rsid w:val="00084962"/>
    <w:rsid w:val="000865F1"/>
    <w:rsid w:val="0009452E"/>
    <w:rsid w:val="000A1E7C"/>
    <w:rsid w:val="000A5303"/>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44D13"/>
    <w:rsid w:val="00144F40"/>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B0DC3"/>
    <w:rsid w:val="001B3872"/>
    <w:rsid w:val="001C11AC"/>
    <w:rsid w:val="001C15A2"/>
    <w:rsid w:val="001C3524"/>
    <w:rsid w:val="001C59CA"/>
    <w:rsid w:val="001C7130"/>
    <w:rsid w:val="001C78E2"/>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8041F"/>
    <w:rsid w:val="00280E5D"/>
    <w:rsid w:val="00281369"/>
    <w:rsid w:val="00282D36"/>
    <w:rsid w:val="002854ED"/>
    <w:rsid w:val="00286F9A"/>
    <w:rsid w:val="002A0E3F"/>
    <w:rsid w:val="002A51AC"/>
    <w:rsid w:val="002A59FD"/>
    <w:rsid w:val="002A5D43"/>
    <w:rsid w:val="002A7596"/>
    <w:rsid w:val="002B2E78"/>
    <w:rsid w:val="002C4447"/>
    <w:rsid w:val="002E53F3"/>
    <w:rsid w:val="002F2328"/>
    <w:rsid w:val="002F4654"/>
    <w:rsid w:val="002F62CC"/>
    <w:rsid w:val="00307040"/>
    <w:rsid w:val="0030721A"/>
    <w:rsid w:val="00323F48"/>
    <w:rsid w:val="00326C51"/>
    <w:rsid w:val="00326FA5"/>
    <w:rsid w:val="00327106"/>
    <w:rsid w:val="00335D39"/>
    <w:rsid w:val="00335E5F"/>
    <w:rsid w:val="00336F8B"/>
    <w:rsid w:val="00341BAF"/>
    <w:rsid w:val="00351B97"/>
    <w:rsid w:val="003522C7"/>
    <w:rsid w:val="00353668"/>
    <w:rsid w:val="003556EE"/>
    <w:rsid w:val="0036070A"/>
    <w:rsid w:val="003634CB"/>
    <w:rsid w:val="00367DBE"/>
    <w:rsid w:val="00372E67"/>
    <w:rsid w:val="00393939"/>
    <w:rsid w:val="003A222F"/>
    <w:rsid w:val="003A58AB"/>
    <w:rsid w:val="003B50B7"/>
    <w:rsid w:val="003C4B2E"/>
    <w:rsid w:val="003C6F64"/>
    <w:rsid w:val="003D4E62"/>
    <w:rsid w:val="003E3983"/>
    <w:rsid w:val="003F4176"/>
    <w:rsid w:val="003F55DC"/>
    <w:rsid w:val="0040339E"/>
    <w:rsid w:val="0040534D"/>
    <w:rsid w:val="00422E5E"/>
    <w:rsid w:val="004234FA"/>
    <w:rsid w:val="00424939"/>
    <w:rsid w:val="004261CB"/>
    <w:rsid w:val="00441D98"/>
    <w:rsid w:val="00442825"/>
    <w:rsid w:val="004433FE"/>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319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B2E6E"/>
    <w:rsid w:val="005C114C"/>
    <w:rsid w:val="005C2091"/>
    <w:rsid w:val="005C4B54"/>
    <w:rsid w:val="005D0239"/>
    <w:rsid w:val="005E4F20"/>
    <w:rsid w:val="00600DD2"/>
    <w:rsid w:val="0060472E"/>
    <w:rsid w:val="006175FA"/>
    <w:rsid w:val="00632ABF"/>
    <w:rsid w:val="006330E7"/>
    <w:rsid w:val="00644C43"/>
    <w:rsid w:val="00656264"/>
    <w:rsid w:val="00657AA6"/>
    <w:rsid w:val="0066492B"/>
    <w:rsid w:val="00664E13"/>
    <w:rsid w:val="006714DA"/>
    <w:rsid w:val="00672C77"/>
    <w:rsid w:val="00673B18"/>
    <w:rsid w:val="0069542F"/>
    <w:rsid w:val="00696858"/>
    <w:rsid w:val="0069702C"/>
    <w:rsid w:val="006B2654"/>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67A1"/>
    <w:rsid w:val="007C78BA"/>
    <w:rsid w:val="007D1861"/>
    <w:rsid w:val="007D7714"/>
    <w:rsid w:val="008062DE"/>
    <w:rsid w:val="008102F3"/>
    <w:rsid w:val="00813B30"/>
    <w:rsid w:val="00824659"/>
    <w:rsid w:val="0082485C"/>
    <w:rsid w:val="00824867"/>
    <w:rsid w:val="0082780C"/>
    <w:rsid w:val="00827F74"/>
    <w:rsid w:val="00833435"/>
    <w:rsid w:val="00840AF7"/>
    <w:rsid w:val="008442F7"/>
    <w:rsid w:val="00846626"/>
    <w:rsid w:val="0085123B"/>
    <w:rsid w:val="0086226A"/>
    <w:rsid w:val="0087194F"/>
    <w:rsid w:val="00872CFB"/>
    <w:rsid w:val="008774F4"/>
    <w:rsid w:val="008776F8"/>
    <w:rsid w:val="00883530"/>
    <w:rsid w:val="0089032C"/>
    <w:rsid w:val="008905F5"/>
    <w:rsid w:val="008B250A"/>
    <w:rsid w:val="008B5033"/>
    <w:rsid w:val="008C0F81"/>
    <w:rsid w:val="008C1DB0"/>
    <w:rsid w:val="008D14FA"/>
    <w:rsid w:val="008D5A7E"/>
    <w:rsid w:val="008D7F29"/>
    <w:rsid w:val="008E4479"/>
    <w:rsid w:val="00902281"/>
    <w:rsid w:val="00914299"/>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61469"/>
    <w:rsid w:val="0096775F"/>
    <w:rsid w:val="009740A3"/>
    <w:rsid w:val="00986C62"/>
    <w:rsid w:val="009906C2"/>
    <w:rsid w:val="009A75F5"/>
    <w:rsid w:val="009C2461"/>
    <w:rsid w:val="009D2795"/>
    <w:rsid w:val="009D40DE"/>
    <w:rsid w:val="009D4E0B"/>
    <w:rsid w:val="009E0C7B"/>
    <w:rsid w:val="009F1410"/>
    <w:rsid w:val="009F4178"/>
    <w:rsid w:val="009F65EF"/>
    <w:rsid w:val="009F6CA1"/>
    <w:rsid w:val="009F6E7F"/>
    <w:rsid w:val="00A0271F"/>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72E70"/>
    <w:rsid w:val="00A735AA"/>
    <w:rsid w:val="00A76133"/>
    <w:rsid w:val="00A90126"/>
    <w:rsid w:val="00A94F7D"/>
    <w:rsid w:val="00A97213"/>
    <w:rsid w:val="00AA0516"/>
    <w:rsid w:val="00AA55B8"/>
    <w:rsid w:val="00AA6866"/>
    <w:rsid w:val="00AC22D1"/>
    <w:rsid w:val="00AC4C47"/>
    <w:rsid w:val="00AC6963"/>
    <w:rsid w:val="00AD14A7"/>
    <w:rsid w:val="00AD1F48"/>
    <w:rsid w:val="00AD4395"/>
    <w:rsid w:val="00AD548B"/>
    <w:rsid w:val="00AE0A34"/>
    <w:rsid w:val="00AE0E1F"/>
    <w:rsid w:val="00AE6077"/>
    <w:rsid w:val="00AF1CF1"/>
    <w:rsid w:val="00B04D94"/>
    <w:rsid w:val="00B079AD"/>
    <w:rsid w:val="00B07E7A"/>
    <w:rsid w:val="00B10E33"/>
    <w:rsid w:val="00B24B88"/>
    <w:rsid w:val="00B35772"/>
    <w:rsid w:val="00B41216"/>
    <w:rsid w:val="00B6129C"/>
    <w:rsid w:val="00B641C7"/>
    <w:rsid w:val="00B673C2"/>
    <w:rsid w:val="00B7015B"/>
    <w:rsid w:val="00B704DE"/>
    <w:rsid w:val="00B7136E"/>
    <w:rsid w:val="00B71582"/>
    <w:rsid w:val="00B8035A"/>
    <w:rsid w:val="00B80644"/>
    <w:rsid w:val="00B815E0"/>
    <w:rsid w:val="00B93464"/>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60CB2"/>
    <w:rsid w:val="00C678FE"/>
    <w:rsid w:val="00C679E7"/>
    <w:rsid w:val="00C73C70"/>
    <w:rsid w:val="00C75585"/>
    <w:rsid w:val="00C816E3"/>
    <w:rsid w:val="00C83996"/>
    <w:rsid w:val="00C85EC1"/>
    <w:rsid w:val="00C8726D"/>
    <w:rsid w:val="00CD7450"/>
    <w:rsid w:val="00CE127E"/>
    <w:rsid w:val="00CE582E"/>
    <w:rsid w:val="00CF7FDC"/>
    <w:rsid w:val="00D0303F"/>
    <w:rsid w:val="00D133AD"/>
    <w:rsid w:val="00D26994"/>
    <w:rsid w:val="00D27727"/>
    <w:rsid w:val="00D320FD"/>
    <w:rsid w:val="00D328CD"/>
    <w:rsid w:val="00D338F7"/>
    <w:rsid w:val="00D44034"/>
    <w:rsid w:val="00D518AA"/>
    <w:rsid w:val="00D51D91"/>
    <w:rsid w:val="00D61663"/>
    <w:rsid w:val="00D66688"/>
    <w:rsid w:val="00D75B08"/>
    <w:rsid w:val="00D76486"/>
    <w:rsid w:val="00D8144F"/>
    <w:rsid w:val="00D8261D"/>
    <w:rsid w:val="00D83CFB"/>
    <w:rsid w:val="00D9153C"/>
    <w:rsid w:val="00D94B01"/>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11553"/>
    <w:rsid w:val="00E13B6C"/>
    <w:rsid w:val="00E13EF2"/>
    <w:rsid w:val="00E14B7C"/>
    <w:rsid w:val="00E16064"/>
    <w:rsid w:val="00E2167A"/>
    <w:rsid w:val="00E236E3"/>
    <w:rsid w:val="00E26434"/>
    <w:rsid w:val="00E307A2"/>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B3AC9"/>
    <w:rsid w:val="00EB4EBB"/>
    <w:rsid w:val="00EB5A94"/>
    <w:rsid w:val="00EC228B"/>
    <w:rsid w:val="00EC3483"/>
    <w:rsid w:val="00EC3AF1"/>
    <w:rsid w:val="00EC519F"/>
    <w:rsid w:val="00EC5403"/>
    <w:rsid w:val="00ED2B16"/>
    <w:rsid w:val="00EE12EB"/>
    <w:rsid w:val="00EE2ECC"/>
    <w:rsid w:val="00EE5988"/>
    <w:rsid w:val="00EE6900"/>
    <w:rsid w:val="00EE75A8"/>
    <w:rsid w:val="00EE78E2"/>
    <w:rsid w:val="00EF320F"/>
    <w:rsid w:val="00EF622B"/>
    <w:rsid w:val="00F008F9"/>
    <w:rsid w:val="00F04205"/>
    <w:rsid w:val="00F15308"/>
    <w:rsid w:val="00F162E5"/>
    <w:rsid w:val="00F2688C"/>
    <w:rsid w:val="00F33409"/>
    <w:rsid w:val="00F33874"/>
    <w:rsid w:val="00F36733"/>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E54F3"/>
    <w:rsid w:val="00FF07E8"/>
    <w:rsid w:val="00FF4B63"/>
    <w:rsid w:val="00FF5446"/>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478</Words>
  <Characters>2730</Characters>
  <Application>Microsoft Office Word</Application>
  <DocSecurity>0</DocSecurity>
  <Lines>22</Lines>
  <Paragraphs>6</Paragraphs>
  <ScaleCrop>false</ScaleCrop>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Zhang, Jun Wei</cp:lastModifiedBy>
  <cp:revision>2</cp:revision>
  <cp:lastPrinted>2019-01-30T08:13:00Z</cp:lastPrinted>
  <dcterms:created xsi:type="dcterms:W3CDTF">2023-04-06T00:57:00Z</dcterms:created>
  <dcterms:modified xsi:type="dcterms:W3CDTF">2023-04-06T00:57:00Z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